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2E82" w14:textId="48844C4A" w:rsidR="00E7000E" w:rsidRPr="00A9740D" w:rsidRDefault="00F12D79" w:rsidP="00A9740D">
      <w:pPr>
        <w:pStyle w:val="TasCOSSCoverTitle"/>
        <w:rPr>
          <w:sz w:val="52"/>
          <w:szCs w:val="52"/>
        </w:rPr>
      </w:pPr>
      <w:r w:rsidRPr="00F12D79">
        <w:rPr>
          <w:sz w:val="52"/>
          <w:szCs w:val="52"/>
        </w:rPr>
        <w:t>Child Safety Reform Implementation</w:t>
      </w:r>
      <w:r w:rsidR="00A9740D">
        <w:rPr>
          <w:sz w:val="52"/>
          <w:szCs w:val="52"/>
        </w:rPr>
        <w:t xml:space="preserve"> </w:t>
      </w:r>
      <w:r w:rsidRPr="00F12D79">
        <w:rPr>
          <w:sz w:val="52"/>
          <w:szCs w:val="52"/>
        </w:rPr>
        <w:t xml:space="preserve">Monitor Bill 2024 </w:t>
      </w:r>
      <w:r w:rsidR="00A72597">
        <w:rPr>
          <w:sz w:val="52"/>
          <w:szCs w:val="52"/>
        </w:rPr>
        <w:tab/>
      </w:r>
    </w:p>
    <w:p w14:paraId="33092E83" w14:textId="03C7D839" w:rsidR="00E7000E" w:rsidRPr="006E64F4" w:rsidRDefault="00EA28CC" w:rsidP="004B75A0">
      <w:pPr>
        <w:pStyle w:val="TasCOSSCoverTitle"/>
        <w:rPr>
          <w:i/>
          <w:sz w:val="36"/>
          <w:szCs w:val="36"/>
        </w:rPr>
        <w:sectPr w:rsidR="00E7000E" w:rsidRPr="006E64F4" w:rsidSect="002F6E96">
          <w:headerReference w:type="default" r:id="rId11"/>
          <w:footerReference w:type="default" r:id="rId12"/>
          <w:footerReference w:type="first" r:id="rId13"/>
          <w:pgSz w:w="11900" w:h="16840"/>
          <w:pgMar w:top="6804" w:right="1134" w:bottom="5670" w:left="1418" w:header="709" w:footer="709" w:gutter="0"/>
          <w:cols w:space="708"/>
          <w:docGrid w:linePitch="360"/>
        </w:sectPr>
      </w:pPr>
      <w:r>
        <w:rPr>
          <w:i/>
          <w:sz w:val="36"/>
          <w:szCs w:val="36"/>
        </w:rPr>
        <w:t>April</w:t>
      </w:r>
      <w:r w:rsidR="00F12D79">
        <w:rPr>
          <w:i/>
          <w:sz w:val="36"/>
          <w:szCs w:val="36"/>
        </w:rPr>
        <w:t xml:space="preserve"> 2024</w:t>
      </w:r>
    </w:p>
    <w:p w14:paraId="33092E84" w14:textId="77777777" w:rsidR="00DD61D3" w:rsidRPr="00DB3654" w:rsidRDefault="00DD61D3" w:rsidP="00DD61D3">
      <w:pPr>
        <w:pBdr>
          <w:bottom w:val="single" w:sz="24" w:space="15" w:color="D9D9D9" w:themeColor="background1" w:themeShade="D9"/>
        </w:pBdr>
        <w:spacing w:after="300"/>
        <w:outlineLvl w:val="0"/>
        <w:rPr>
          <w:rFonts w:ascii="Calibri Light" w:hAnsi="Calibri Light"/>
          <w:color w:val="7F7F7F" w:themeColor="text1" w:themeTint="80"/>
          <w:sz w:val="48"/>
          <w:szCs w:val="48"/>
        </w:rPr>
      </w:pPr>
      <w:r w:rsidRPr="00DB3654">
        <w:rPr>
          <w:rFonts w:ascii="Calibri Light" w:hAnsi="Calibri Light"/>
          <w:color w:val="7F7F7F" w:themeColor="text1" w:themeTint="80"/>
          <w:sz w:val="48"/>
          <w:szCs w:val="48"/>
        </w:rPr>
        <w:lastRenderedPageBreak/>
        <w:t xml:space="preserve">About </w:t>
      </w:r>
      <w:proofErr w:type="spellStart"/>
      <w:r w:rsidRPr="00DB3654">
        <w:rPr>
          <w:rFonts w:ascii="Calibri Light" w:hAnsi="Calibri Light"/>
          <w:color w:val="7F7F7F" w:themeColor="text1" w:themeTint="80"/>
          <w:sz w:val="48"/>
          <w:szCs w:val="48"/>
        </w:rPr>
        <w:t>TasCOSS</w:t>
      </w:r>
      <w:proofErr w:type="spellEnd"/>
    </w:p>
    <w:p w14:paraId="33092E85" w14:textId="0647C740" w:rsidR="009F4984" w:rsidRDefault="009F4984" w:rsidP="009F4984">
      <w:pPr>
        <w:spacing w:line="259" w:lineRule="auto"/>
        <w:rPr>
          <w:rFonts w:cstheme="minorHAnsi"/>
          <w:sz w:val="22"/>
          <w:szCs w:val="22"/>
        </w:rPr>
      </w:pPr>
      <w:proofErr w:type="spellStart"/>
      <w:r w:rsidRPr="003F725A">
        <w:rPr>
          <w:rFonts w:cstheme="minorHAnsi"/>
          <w:sz w:val="22"/>
          <w:szCs w:val="22"/>
        </w:rPr>
        <w:t>TasCOSS’</w:t>
      </w:r>
      <w:r w:rsidR="00A9740D">
        <w:rPr>
          <w:rFonts w:cstheme="minorHAnsi"/>
          <w:sz w:val="22"/>
          <w:szCs w:val="22"/>
        </w:rPr>
        <w:t>s</w:t>
      </w:r>
      <w:proofErr w:type="spellEnd"/>
      <w:r w:rsidRPr="003F725A">
        <w:rPr>
          <w:rFonts w:cstheme="minorHAnsi"/>
          <w:sz w:val="22"/>
          <w:szCs w:val="22"/>
        </w:rPr>
        <w:t xml:space="preserve"> vision is </w:t>
      </w:r>
      <w:r>
        <w:rPr>
          <w:rFonts w:cstheme="minorHAnsi"/>
          <w:sz w:val="22"/>
          <w:szCs w:val="22"/>
        </w:rPr>
        <w:t xml:space="preserve">for </w:t>
      </w:r>
      <w:r w:rsidRPr="003F725A">
        <w:rPr>
          <w:rFonts w:cstheme="minorHAnsi"/>
          <w:sz w:val="22"/>
          <w:szCs w:val="22"/>
        </w:rPr>
        <w:t>one Tasmania, free of poverty and inequality where everyone has the same opportunity. Our mission is two-fold: to act as the peak body for the community services industry</w:t>
      </w:r>
      <w:r>
        <w:rPr>
          <w:rFonts w:cstheme="minorHAnsi"/>
          <w:sz w:val="22"/>
          <w:szCs w:val="22"/>
        </w:rPr>
        <w:t xml:space="preserve"> in Tasmania;</w:t>
      </w:r>
      <w:r w:rsidRPr="003F725A">
        <w:rPr>
          <w:rFonts w:cstheme="minorHAnsi"/>
          <w:sz w:val="22"/>
          <w:szCs w:val="22"/>
        </w:rPr>
        <w:t xml:space="preserve"> and to</w:t>
      </w:r>
      <w:r>
        <w:rPr>
          <w:rFonts w:cstheme="minorHAnsi"/>
          <w:sz w:val="22"/>
          <w:szCs w:val="22"/>
        </w:rPr>
        <w:t xml:space="preserve"> challenge and</w:t>
      </w:r>
      <w:r w:rsidRPr="003F725A">
        <w:rPr>
          <w:rFonts w:cstheme="minorHAnsi"/>
          <w:sz w:val="22"/>
          <w:szCs w:val="22"/>
        </w:rPr>
        <w:t xml:space="preserve"> change the systems, attitudes and behaviours that create poverty, inequality and exclusion. </w:t>
      </w:r>
    </w:p>
    <w:p w14:paraId="33092E86" w14:textId="77777777" w:rsidR="009F4984" w:rsidRDefault="009F4984" w:rsidP="009F4984">
      <w:pPr>
        <w:spacing w:line="259" w:lineRule="auto"/>
        <w:rPr>
          <w:rFonts w:cstheme="minorHAnsi"/>
          <w:sz w:val="22"/>
          <w:szCs w:val="22"/>
        </w:rPr>
      </w:pPr>
    </w:p>
    <w:p w14:paraId="33092E87" w14:textId="258F7D3D" w:rsidR="009F4984" w:rsidRDefault="009F4984" w:rsidP="009F4984">
      <w:pPr>
        <w:spacing w:line="259" w:lineRule="auto"/>
        <w:rPr>
          <w:rFonts w:cstheme="minorHAnsi"/>
          <w:sz w:val="22"/>
          <w:szCs w:val="22"/>
        </w:rPr>
      </w:pPr>
      <w:r w:rsidRPr="003F725A">
        <w:rPr>
          <w:rFonts w:cstheme="minorHAnsi"/>
          <w:sz w:val="22"/>
          <w:szCs w:val="22"/>
        </w:rPr>
        <w:t>Our membership includes individuals and organisations active in the provisi</w:t>
      </w:r>
      <w:r w:rsidR="006E64F4">
        <w:rPr>
          <w:rFonts w:cstheme="minorHAnsi"/>
          <w:sz w:val="22"/>
          <w:szCs w:val="22"/>
        </w:rPr>
        <w:t xml:space="preserve">on of community services </w:t>
      </w:r>
      <w:r w:rsidR="005F67A9" w:rsidRPr="0064116B">
        <w:rPr>
          <w:rFonts w:cstheme="minorHAnsi"/>
          <w:sz w:val="22"/>
          <w:szCs w:val="22"/>
        </w:rPr>
        <w:t>to Tasmanians</w:t>
      </w:r>
      <w:r w:rsidR="005F67A9" w:rsidRPr="003F725A">
        <w:rPr>
          <w:rFonts w:cstheme="minorHAnsi"/>
          <w:sz w:val="22"/>
          <w:szCs w:val="22"/>
        </w:rPr>
        <w:t xml:space="preserve"> </w:t>
      </w:r>
      <w:r w:rsidR="005F67A9">
        <w:rPr>
          <w:rFonts w:cstheme="minorHAnsi"/>
          <w:sz w:val="22"/>
          <w:szCs w:val="22"/>
        </w:rPr>
        <w:t xml:space="preserve">on low incomes or living in vulnerable </w:t>
      </w:r>
      <w:r w:rsidR="005F67A9" w:rsidRPr="003F725A">
        <w:rPr>
          <w:rFonts w:cstheme="minorHAnsi"/>
          <w:sz w:val="22"/>
          <w:szCs w:val="22"/>
        </w:rPr>
        <w:t>circumstances.</w:t>
      </w:r>
      <w:r w:rsidRPr="003F725A">
        <w:rPr>
          <w:rFonts w:cstheme="minorHAnsi"/>
          <w:sz w:val="22"/>
          <w:szCs w:val="22"/>
        </w:rPr>
        <w:t> </w:t>
      </w:r>
      <w:proofErr w:type="spellStart"/>
      <w:r w:rsidRPr="003F725A">
        <w:rPr>
          <w:rFonts w:cstheme="minorHAnsi"/>
          <w:sz w:val="22"/>
          <w:szCs w:val="22"/>
        </w:rPr>
        <w:t>TasCOSS</w:t>
      </w:r>
      <w:proofErr w:type="spellEnd"/>
      <w:r w:rsidRPr="003F725A">
        <w:rPr>
          <w:rFonts w:cstheme="minorHAnsi"/>
          <w:sz w:val="22"/>
          <w:szCs w:val="22"/>
        </w:rPr>
        <w:t> represents the interests of our members and their service users to government, regulators, the media and the public. Through our advocacy and policy development, we draw attention to the causes of poverty and disadvantage, and promote the adoption of effective solutions to address these issues.</w:t>
      </w:r>
    </w:p>
    <w:p w14:paraId="33092E88" w14:textId="77777777" w:rsidR="009F4984" w:rsidRPr="003F725A" w:rsidRDefault="009F4984" w:rsidP="009F4984">
      <w:pPr>
        <w:spacing w:line="259" w:lineRule="auto"/>
        <w:rPr>
          <w:rFonts w:cstheme="minorHAnsi"/>
          <w:sz w:val="22"/>
          <w:szCs w:val="22"/>
        </w:rPr>
      </w:pPr>
    </w:p>
    <w:p w14:paraId="33092E89" w14:textId="77777777" w:rsidR="009F4984" w:rsidRDefault="009F4984" w:rsidP="009F4984">
      <w:pPr>
        <w:spacing w:line="259" w:lineRule="auto"/>
        <w:rPr>
          <w:rFonts w:ascii="Calibri" w:hAnsi="Calibri" w:cs="Calibri"/>
          <w:sz w:val="22"/>
          <w:szCs w:val="22"/>
        </w:rPr>
      </w:pPr>
      <w:r w:rsidRPr="00DB3654">
        <w:rPr>
          <w:rFonts w:ascii="Calibri" w:hAnsi="Calibri" w:cs="Calibri"/>
          <w:sz w:val="22"/>
          <w:szCs w:val="22"/>
        </w:rPr>
        <w:t>Please direct any enquiries about this submission to:</w:t>
      </w:r>
    </w:p>
    <w:p w14:paraId="33092E8A" w14:textId="77777777" w:rsidR="009F4984" w:rsidRPr="00DB3654" w:rsidRDefault="009F4984" w:rsidP="009F4984">
      <w:pPr>
        <w:spacing w:line="259" w:lineRule="auto"/>
        <w:rPr>
          <w:rFonts w:ascii="Calibri" w:hAnsi="Calibri" w:cs="Calibri"/>
          <w:sz w:val="22"/>
          <w:szCs w:val="22"/>
        </w:rPr>
      </w:pPr>
    </w:p>
    <w:p w14:paraId="18E76CBD" w14:textId="77777777" w:rsidR="00584F02" w:rsidRPr="006E64F4" w:rsidRDefault="00584F02" w:rsidP="00584F02">
      <w:pPr>
        <w:spacing w:line="259" w:lineRule="auto"/>
        <w:rPr>
          <w:rFonts w:ascii="Calibri" w:hAnsi="Calibri" w:cs="Calibri"/>
          <w:sz w:val="22"/>
          <w:szCs w:val="22"/>
        </w:rPr>
      </w:pPr>
      <w:r w:rsidRPr="006E64F4">
        <w:rPr>
          <w:rFonts w:ascii="Calibri" w:hAnsi="Calibri" w:cs="Calibri"/>
          <w:sz w:val="22"/>
          <w:szCs w:val="22"/>
        </w:rPr>
        <w:t>Adrienne Picone</w:t>
      </w:r>
    </w:p>
    <w:p w14:paraId="014345BD" w14:textId="77777777" w:rsidR="00584F02" w:rsidRPr="006E64F4" w:rsidRDefault="00584F02" w:rsidP="00584F02">
      <w:pPr>
        <w:spacing w:line="259" w:lineRule="auto"/>
        <w:rPr>
          <w:rFonts w:ascii="Calibri" w:hAnsi="Calibri" w:cs="Calibri"/>
          <w:sz w:val="22"/>
          <w:szCs w:val="22"/>
        </w:rPr>
      </w:pPr>
      <w:r w:rsidRPr="006E64F4">
        <w:rPr>
          <w:rFonts w:ascii="Calibri" w:hAnsi="Calibri" w:cs="Calibri"/>
          <w:sz w:val="22"/>
          <w:szCs w:val="22"/>
        </w:rPr>
        <w:t>Chief Executive Officer</w:t>
      </w:r>
    </w:p>
    <w:p w14:paraId="0CD7042F" w14:textId="77777777" w:rsidR="00584F02" w:rsidRPr="006E64F4" w:rsidRDefault="00584F02" w:rsidP="00584F02">
      <w:pPr>
        <w:spacing w:line="259" w:lineRule="auto"/>
        <w:rPr>
          <w:rFonts w:ascii="Calibri" w:hAnsi="Calibri" w:cs="Calibri"/>
          <w:sz w:val="22"/>
          <w:szCs w:val="22"/>
        </w:rPr>
      </w:pPr>
      <w:r w:rsidRPr="006E64F4">
        <w:rPr>
          <w:rFonts w:ascii="Calibri" w:hAnsi="Calibri" w:cs="Calibri"/>
          <w:i/>
          <w:sz w:val="22"/>
          <w:szCs w:val="22"/>
        </w:rPr>
        <w:t xml:space="preserve">Phone Number: </w:t>
      </w:r>
      <w:r w:rsidRPr="006E64F4">
        <w:rPr>
          <w:rFonts w:ascii="Calibri" w:hAnsi="Calibri" w:cs="Calibri"/>
          <w:sz w:val="22"/>
          <w:szCs w:val="22"/>
        </w:rPr>
        <w:t>(03) 6231 0755</w:t>
      </w:r>
    </w:p>
    <w:p w14:paraId="2FC82C1C" w14:textId="77777777" w:rsidR="00584F02" w:rsidRPr="006E64F4" w:rsidRDefault="00584F02" w:rsidP="00584F02">
      <w:pPr>
        <w:spacing w:line="259" w:lineRule="auto"/>
        <w:rPr>
          <w:rFonts w:ascii="Calibri" w:hAnsi="Calibri" w:cs="Calibri"/>
          <w:sz w:val="22"/>
          <w:szCs w:val="22"/>
        </w:rPr>
      </w:pPr>
      <w:r w:rsidRPr="006E64F4">
        <w:rPr>
          <w:rFonts w:ascii="Calibri" w:hAnsi="Calibri" w:cs="Calibri"/>
          <w:i/>
          <w:sz w:val="22"/>
          <w:szCs w:val="22"/>
        </w:rPr>
        <w:t>Email Address:</w:t>
      </w:r>
      <w:r w:rsidRPr="006E64F4">
        <w:rPr>
          <w:rFonts w:ascii="Calibri" w:hAnsi="Calibri" w:cs="Calibri"/>
          <w:sz w:val="22"/>
          <w:szCs w:val="22"/>
        </w:rPr>
        <w:t xml:space="preserve"> </w:t>
      </w:r>
      <w:hyperlink r:id="rId14" w:history="1">
        <w:r w:rsidRPr="006E64F4">
          <w:rPr>
            <w:rStyle w:val="Hyperlink"/>
            <w:rFonts w:ascii="Calibri" w:hAnsi="Calibri" w:cs="Calibri"/>
            <w:sz w:val="22"/>
            <w:szCs w:val="22"/>
          </w:rPr>
          <w:t>adrienne@tascoss.org.au</w:t>
        </w:r>
      </w:hyperlink>
    </w:p>
    <w:p w14:paraId="33092E8F" w14:textId="77777777" w:rsidR="00DD61D3" w:rsidRPr="009F4984" w:rsidRDefault="00DD61D3" w:rsidP="009F4984">
      <w:pPr>
        <w:keepNext/>
        <w:keepLines/>
        <w:spacing w:before="240" w:line="259" w:lineRule="auto"/>
        <w:outlineLvl w:val="0"/>
        <w:rPr>
          <w:rFonts w:ascii="Calibri Light" w:eastAsia="Times New Roman" w:hAnsi="Calibri Light" w:cs="Times New Roman"/>
          <w:color w:val="2E74B5"/>
          <w:sz w:val="32"/>
          <w:szCs w:val="32"/>
        </w:rPr>
      </w:pPr>
    </w:p>
    <w:p w14:paraId="33092E90" w14:textId="77777777" w:rsidR="00836D22" w:rsidRPr="006E64F4" w:rsidRDefault="00DD61D3" w:rsidP="006E64F4">
      <w:pPr>
        <w:keepNext/>
        <w:keepLines/>
        <w:spacing w:before="240" w:line="259" w:lineRule="auto"/>
        <w:outlineLvl w:val="0"/>
        <w:rPr>
          <w:rFonts w:ascii="Calibri Light" w:eastAsia="Times New Roman" w:hAnsi="Calibri Light" w:cs="Times New Roman"/>
          <w:color w:val="2E74B5"/>
          <w:sz w:val="32"/>
          <w:szCs w:val="32"/>
        </w:rPr>
      </w:pPr>
      <w:r>
        <w:br w:type="page"/>
      </w:r>
    </w:p>
    <w:p w14:paraId="012A845F" w14:textId="5B25E114" w:rsidR="00A9740D" w:rsidRPr="00442254" w:rsidRDefault="00104AB8" w:rsidP="00442254">
      <w:pPr>
        <w:pStyle w:val="TasCOSSGraphTitle"/>
        <w:ind w:left="0"/>
      </w:pPr>
      <w:r>
        <w:lastRenderedPageBreak/>
        <w:t>Introduction</w:t>
      </w:r>
    </w:p>
    <w:p w14:paraId="7CEB86F2" w14:textId="77777777" w:rsidR="00442254" w:rsidRDefault="00442254" w:rsidP="008B7D4F">
      <w:pPr>
        <w:pStyle w:val="TasCOSSBodyCopy"/>
        <w:jc w:val="both"/>
        <w:rPr>
          <w:b/>
          <w:bCs/>
        </w:rPr>
      </w:pPr>
    </w:p>
    <w:p w14:paraId="3A3ACB33" w14:textId="34676070" w:rsidR="0081149A" w:rsidRPr="00A9740D" w:rsidRDefault="00CD5DD8" w:rsidP="008B7D4F">
      <w:pPr>
        <w:pStyle w:val="TasCOSSBodyCopy"/>
        <w:jc w:val="both"/>
        <w:rPr>
          <w:b/>
          <w:bCs/>
        </w:rPr>
      </w:pPr>
      <w:r w:rsidRPr="00A9740D">
        <w:rPr>
          <w:b/>
          <w:bCs/>
        </w:rPr>
        <w:t>The Child Safety Reform Implementation Monitor Bill 2024</w:t>
      </w:r>
      <w:r w:rsidR="009130DF" w:rsidRPr="00A9740D">
        <w:rPr>
          <w:b/>
          <w:bCs/>
        </w:rPr>
        <w:t xml:space="preserve"> (‘the Draft Bill’) is the legislation introducing an independent monitor to oversee and report on the </w:t>
      </w:r>
      <w:r w:rsidR="00F66E75" w:rsidRPr="00A9740D">
        <w:rPr>
          <w:b/>
          <w:bCs/>
        </w:rPr>
        <w:t xml:space="preserve">Tasmanian </w:t>
      </w:r>
      <w:r w:rsidR="009130DF" w:rsidRPr="00A9740D">
        <w:rPr>
          <w:b/>
          <w:bCs/>
        </w:rPr>
        <w:t xml:space="preserve">Government’s implementation of the recommendations from the Commission of Inquiry </w:t>
      </w:r>
      <w:r w:rsidR="00FC071F" w:rsidRPr="00A9740D">
        <w:rPr>
          <w:b/>
          <w:bCs/>
        </w:rPr>
        <w:t>into the Tasmanian Government’s Response</w:t>
      </w:r>
      <w:r w:rsidR="00F66E75" w:rsidRPr="00A9740D">
        <w:rPr>
          <w:b/>
          <w:bCs/>
        </w:rPr>
        <w:t>s</w:t>
      </w:r>
      <w:r w:rsidR="00FC071F" w:rsidRPr="00A9740D">
        <w:rPr>
          <w:b/>
          <w:bCs/>
        </w:rPr>
        <w:t xml:space="preserve"> to Child Sexual Abuse in Institutional Settings (‘the Commission of Inquiry’). </w:t>
      </w:r>
    </w:p>
    <w:p w14:paraId="26BFDB49" w14:textId="77777777" w:rsidR="00FC071F" w:rsidRDefault="00FC071F" w:rsidP="008B7D4F">
      <w:pPr>
        <w:pStyle w:val="TasCOSSBodyCopy"/>
        <w:jc w:val="both"/>
      </w:pPr>
    </w:p>
    <w:p w14:paraId="6F9740E7" w14:textId="5F014323" w:rsidR="00FC071F" w:rsidRDefault="00543BBE" w:rsidP="008B7D4F">
      <w:pPr>
        <w:pStyle w:val="TasCOSSBodyCopy"/>
        <w:jc w:val="both"/>
      </w:pPr>
      <w:r>
        <w:t>T</w:t>
      </w:r>
      <w:r w:rsidR="00FC071F">
        <w:t>he Commission of Inquiry</w:t>
      </w:r>
      <w:r>
        <w:t xml:space="preserve"> recommended the establishment of </w:t>
      </w:r>
      <w:r w:rsidR="001E7C45" w:rsidRPr="001E7C45">
        <w:t xml:space="preserve">an independent Child Sexual Abuse Reform Implementation Monitor </w:t>
      </w:r>
      <w:r w:rsidR="001E7C45">
        <w:t>(‘</w:t>
      </w:r>
      <w:r w:rsidR="000932D0">
        <w:t xml:space="preserve">Reform Implementation Monitor’) </w:t>
      </w:r>
      <w:r w:rsidR="001E7C45" w:rsidRPr="001E7C45">
        <w:t xml:space="preserve">to oversee and report on the </w:t>
      </w:r>
      <w:r w:rsidR="00A9740D">
        <w:t xml:space="preserve">Tasmanian </w:t>
      </w:r>
      <w:r w:rsidR="001E7C45" w:rsidRPr="001E7C45">
        <w:t xml:space="preserve">Government’s progress in implementing </w:t>
      </w:r>
      <w:r w:rsidR="000932D0">
        <w:t xml:space="preserve">the </w:t>
      </w:r>
      <w:r w:rsidR="001E7C45" w:rsidRPr="001E7C45">
        <w:t xml:space="preserve">recommendations </w:t>
      </w:r>
      <w:r w:rsidR="000932D0">
        <w:t xml:space="preserve">from the Commission of Inquiry, as well as recommendations from </w:t>
      </w:r>
      <w:r w:rsidR="001E7C45" w:rsidRPr="001E7C45">
        <w:t xml:space="preserve">related inquiries, </w:t>
      </w:r>
      <w:r w:rsidR="000932D0">
        <w:t xml:space="preserve">such as the </w:t>
      </w:r>
      <w:r w:rsidR="001E7C45" w:rsidRPr="001E7C45">
        <w:t xml:space="preserve">Royal Commission </w:t>
      </w:r>
      <w:r w:rsidR="001A32A3">
        <w:t>into Institutional Responses to Child Sexual Abuse (‘the National Royal Commission’)</w:t>
      </w:r>
      <w:r w:rsidR="00A9740D">
        <w:t>,</w:t>
      </w:r>
      <w:r w:rsidR="001A32A3">
        <w:t xml:space="preserve"> </w:t>
      </w:r>
      <w:r w:rsidR="001E7C45" w:rsidRPr="001E7C45">
        <w:t>and the Independent Inquiry into the Department of</w:t>
      </w:r>
      <w:r w:rsidR="00A54E5A">
        <w:t xml:space="preserve"> </w:t>
      </w:r>
      <w:r w:rsidR="001E7C45" w:rsidRPr="001E7C45">
        <w:t>Education’s</w:t>
      </w:r>
      <w:r w:rsidR="00A54E5A">
        <w:t xml:space="preserve"> R</w:t>
      </w:r>
      <w:r w:rsidR="001E7C45" w:rsidRPr="001E7C45">
        <w:t>esponses to Child Sexual Abuse</w:t>
      </w:r>
      <w:r w:rsidR="00A54E5A">
        <w:t>.</w:t>
      </w:r>
      <w:r w:rsidR="00A54E5A">
        <w:rPr>
          <w:rStyle w:val="FootnoteReference"/>
          <w:bCs/>
        </w:rPr>
        <w:footnoteReference w:id="2"/>
      </w:r>
      <w:r w:rsidR="001E454B">
        <w:t xml:space="preserve"> </w:t>
      </w:r>
      <w:r w:rsidR="00DF5639">
        <w:t xml:space="preserve">The </w:t>
      </w:r>
      <w:r w:rsidR="009A0037">
        <w:t xml:space="preserve">need for independent monitoring </w:t>
      </w:r>
      <w:r w:rsidR="00DF5639">
        <w:t xml:space="preserve">of </w:t>
      </w:r>
      <w:r w:rsidR="009A0037">
        <w:t xml:space="preserve">the </w:t>
      </w:r>
      <w:r w:rsidR="00DF5639">
        <w:t>reform</w:t>
      </w:r>
      <w:r w:rsidR="009A0037">
        <w:t xml:space="preserve"> process </w:t>
      </w:r>
      <w:r w:rsidR="00DF5639">
        <w:t xml:space="preserve">was </w:t>
      </w:r>
      <w:r w:rsidR="009A0037">
        <w:t xml:space="preserve">identified in </w:t>
      </w:r>
      <w:r w:rsidR="001D08AF">
        <w:t xml:space="preserve">the Commission of Inquiry’s </w:t>
      </w:r>
      <w:r w:rsidR="00A9740D">
        <w:t>F</w:t>
      </w:r>
      <w:r w:rsidR="001D08AF">
        <w:t xml:space="preserve">inal </w:t>
      </w:r>
      <w:r w:rsidR="00A9740D">
        <w:t>R</w:t>
      </w:r>
      <w:r w:rsidR="001D08AF">
        <w:t xml:space="preserve">eport, </w:t>
      </w:r>
      <w:r w:rsidR="00CF297F" w:rsidRPr="0011266F">
        <w:rPr>
          <w:i/>
          <w:iCs/>
        </w:rPr>
        <w:t>Who was looking after me? Prioritising the safety of Tasmanian children</w:t>
      </w:r>
      <w:r w:rsidR="00CF297F">
        <w:t xml:space="preserve"> (‘</w:t>
      </w:r>
      <w:r w:rsidR="009A0037">
        <w:t>the Final Report</w:t>
      </w:r>
      <w:r w:rsidR="00CF297F">
        <w:t xml:space="preserve">’), </w:t>
      </w:r>
      <w:r w:rsidR="00942E77">
        <w:t xml:space="preserve">noting such monitoring was key to </w:t>
      </w:r>
      <w:r w:rsidR="00A9740D">
        <w:t>“</w:t>
      </w:r>
      <w:r w:rsidR="00942E77" w:rsidRPr="00942E77">
        <w:t>ensure the recommendations of our Commission of Inquiry result in sustained systemic improvements towards preventing child sexual abuse in institutions, improving institutional responses to such abuse and providing the necessary supports for those who have been abused</w:t>
      </w:r>
      <w:r w:rsidR="00942E77">
        <w:t>,</w:t>
      </w:r>
      <w:r w:rsidR="00A9740D">
        <w:t>”</w:t>
      </w:r>
      <w:r w:rsidR="00942E77">
        <w:t xml:space="preserve"> and that ongoing monitoring is </w:t>
      </w:r>
      <w:r w:rsidR="00A9740D">
        <w:t>“</w:t>
      </w:r>
      <w:r w:rsidR="00942E77" w:rsidRPr="00942E77">
        <w:t>essential to maintaining momentum for reform, adapting reform efforts to changing circumstances as required and ensuring progress is transparent.</w:t>
      </w:r>
      <w:r w:rsidR="00A9740D">
        <w:t>”</w:t>
      </w:r>
      <w:r w:rsidR="00942E77">
        <w:rPr>
          <w:rStyle w:val="FootnoteReference"/>
          <w:bCs/>
        </w:rPr>
        <w:footnoteReference w:id="3"/>
      </w:r>
    </w:p>
    <w:p w14:paraId="03D60007" w14:textId="77777777" w:rsidR="00A54E5A" w:rsidRDefault="00A54E5A" w:rsidP="006D39BD">
      <w:pPr>
        <w:pStyle w:val="TasCOSSSubhead1"/>
      </w:pPr>
    </w:p>
    <w:p w14:paraId="78F4641C" w14:textId="0DDF5E50" w:rsidR="00A54E5A" w:rsidRDefault="00A54E5A" w:rsidP="006D39BD">
      <w:pPr>
        <w:pStyle w:val="TasCOSSBodyCopy"/>
      </w:pPr>
      <w:r>
        <w:t xml:space="preserve">The relevant recommendation from the Commission of Inquiry is Recommendation 22.1: </w:t>
      </w:r>
    </w:p>
    <w:p w14:paraId="7243EC52" w14:textId="77777777" w:rsidR="00147FFA" w:rsidRDefault="00147FFA" w:rsidP="006D39BD">
      <w:pPr>
        <w:pStyle w:val="TasCOSSSubhead1"/>
      </w:pPr>
    </w:p>
    <w:p w14:paraId="4A2A92FE" w14:textId="2FBCD71B" w:rsidR="004800BE" w:rsidRPr="00A9740D" w:rsidRDefault="00147FFA" w:rsidP="00A9740D">
      <w:pPr>
        <w:pStyle w:val="TasCOSSSubhead1"/>
        <w:numPr>
          <w:ilvl w:val="0"/>
          <w:numId w:val="12"/>
        </w:numPr>
        <w:jc w:val="both"/>
        <w:rPr>
          <w:b w:val="0"/>
          <w:bCs/>
          <w:i/>
          <w:iCs/>
          <w:color w:val="auto"/>
          <w:sz w:val="22"/>
          <w:szCs w:val="22"/>
        </w:rPr>
      </w:pPr>
      <w:r w:rsidRPr="00A9740D">
        <w:rPr>
          <w:b w:val="0"/>
          <w:bCs/>
          <w:i/>
          <w:iCs/>
          <w:color w:val="auto"/>
          <w:sz w:val="22"/>
          <w:szCs w:val="22"/>
        </w:rPr>
        <w:t xml:space="preserve">The Tasmanian Government should introduce legislation to establish and fund an independent Child Sexual Abuse Reform Implementation Monitor to: </w:t>
      </w:r>
    </w:p>
    <w:p w14:paraId="2201EA20" w14:textId="53DE6F07" w:rsidR="00A9740D" w:rsidRPr="00A9740D" w:rsidRDefault="00A9740D" w:rsidP="00A9740D">
      <w:pPr>
        <w:pStyle w:val="TasCOSSSubhead1"/>
        <w:numPr>
          <w:ilvl w:val="0"/>
          <w:numId w:val="17"/>
        </w:numPr>
        <w:jc w:val="both"/>
        <w:rPr>
          <w:b w:val="0"/>
          <w:bCs/>
          <w:i/>
          <w:iCs/>
          <w:color w:val="auto"/>
          <w:sz w:val="22"/>
          <w:szCs w:val="22"/>
        </w:rPr>
      </w:pPr>
      <w:r>
        <w:rPr>
          <w:b w:val="0"/>
          <w:bCs/>
          <w:i/>
          <w:iCs/>
          <w:color w:val="auto"/>
          <w:sz w:val="22"/>
          <w:szCs w:val="22"/>
        </w:rPr>
        <w:t>M</w:t>
      </w:r>
      <w:r w:rsidR="00147FFA" w:rsidRPr="00A9740D">
        <w:rPr>
          <w:b w:val="0"/>
          <w:bCs/>
          <w:i/>
          <w:iCs/>
          <w:color w:val="auto"/>
          <w:sz w:val="22"/>
          <w:szCs w:val="22"/>
        </w:rPr>
        <w:t>onitor and report to Parliament annually on the implementation of</w:t>
      </w:r>
      <w:r w:rsidRPr="00A9740D">
        <w:rPr>
          <w:b w:val="0"/>
          <w:bCs/>
          <w:i/>
          <w:iCs/>
          <w:color w:val="auto"/>
          <w:sz w:val="22"/>
          <w:szCs w:val="22"/>
        </w:rPr>
        <w:t>:</w:t>
      </w:r>
    </w:p>
    <w:p w14:paraId="7817C738" w14:textId="5B94FD8E" w:rsidR="00A9740D" w:rsidRPr="00A9740D" w:rsidRDefault="00A9740D" w:rsidP="00A9740D">
      <w:pPr>
        <w:pStyle w:val="TasCOSSSubhead1"/>
        <w:numPr>
          <w:ilvl w:val="1"/>
          <w:numId w:val="17"/>
        </w:numPr>
        <w:jc w:val="both"/>
        <w:rPr>
          <w:b w:val="0"/>
          <w:bCs/>
          <w:i/>
          <w:iCs/>
          <w:color w:val="auto"/>
          <w:sz w:val="22"/>
          <w:szCs w:val="22"/>
        </w:rPr>
      </w:pPr>
      <w:r>
        <w:rPr>
          <w:b w:val="0"/>
          <w:bCs/>
          <w:i/>
          <w:iCs/>
          <w:color w:val="auto"/>
          <w:sz w:val="22"/>
          <w:szCs w:val="22"/>
        </w:rPr>
        <w:t>T</w:t>
      </w:r>
      <w:r w:rsidR="00147FFA" w:rsidRPr="00A9740D">
        <w:rPr>
          <w:b w:val="0"/>
          <w:bCs/>
          <w:i/>
          <w:iCs/>
          <w:color w:val="auto"/>
          <w:sz w:val="22"/>
          <w:szCs w:val="22"/>
        </w:rPr>
        <w:t>he recommendations of this Commission of Inquiry</w:t>
      </w:r>
      <w:r>
        <w:rPr>
          <w:b w:val="0"/>
          <w:bCs/>
          <w:i/>
          <w:iCs/>
          <w:color w:val="auto"/>
          <w:sz w:val="22"/>
          <w:szCs w:val="22"/>
        </w:rPr>
        <w:t>;</w:t>
      </w:r>
    </w:p>
    <w:p w14:paraId="10C1EB4F" w14:textId="7FF162A2" w:rsidR="00A9740D" w:rsidRPr="00A9740D" w:rsidRDefault="00A9740D" w:rsidP="00A9740D">
      <w:pPr>
        <w:pStyle w:val="TasCOSSSubhead1"/>
        <w:numPr>
          <w:ilvl w:val="1"/>
          <w:numId w:val="17"/>
        </w:numPr>
        <w:jc w:val="both"/>
        <w:rPr>
          <w:b w:val="0"/>
          <w:bCs/>
          <w:i/>
          <w:iCs/>
          <w:color w:val="auto"/>
          <w:sz w:val="22"/>
          <w:szCs w:val="22"/>
        </w:rPr>
      </w:pPr>
      <w:r>
        <w:rPr>
          <w:b w:val="0"/>
          <w:bCs/>
          <w:i/>
          <w:iCs/>
          <w:color w:val="auto"/>
          <w:sz w:val="22"/>
          <w:szCs w:val="22"/>
        </w:rPr>
        <w:t>A</w:t>
      </w:r>
      <w:r w:rsidR="00147FFA" w:rsidRPr="00A9740D">
        <w:rPr>
          <w:b w:val="0"/>
          <w:bCs/>
          <w:i/>
          <w:iCs/>
          <w:color w:val="auto"/>
          <w:sz w:val="22"/>
          <w:szCs w:val="22"/>
        </w:rPr>
        <w:t>ny recommendations of the Royal Commission into Institutional Responses to Child Sexual Abuse that were accepted by the Tasmanian Government and have not been implemented</w:t>
      </w:r>
      <w:r>
        <w:rPr>
          <w:b w:val="0"/>
          <w:bCs/>
          <w:i/>
          <w:iCs/>
          <w:color w:val="auto"/>
          <w:sz w:val="22"/>
          <w:szCs w:val="22"/>
        </w:rPr>
        <w:t>; and</w:t>
      </w:r>
    </w:p>
    <w:p w14:paraId="252819AD" w14:textId="57802B05" w:rsidR="004F171D" w:rsidRPr="00A9740D" w:rsidRDefault="00A9740D" w:rsidP="00A9740D">
      <w:pPr>
        <w:pStyle w:val="TasCOSSSubhead1"/>
        <w:numPr>
          <w:ilvl w:val="1"/>
          <w:numId w:val="17"/>
        </w:numPr>
        <w:jc w:val="both"/>
        <w:rPr>
          <w:b w:val="0"/>
          <w:bCs/>
          <w:i/>
          <w:iCs/>
          <w:color w:val="auto"/>
          <w:sz w:val="22"/>
          <w:szCs w:val="22"/>
        </w:rPr>
      </w:pPr>
      <w:r>
        <w:rPr>
          <w:b w:val="0"/>
          <w:bCs/>
          <w:i/>
          <w:iCs/>
          <w:color w:val="auto"/>
          <w:sz w:val="22"/>
          <w:szCs w:val="22"/>
        </w:rPr>
        <w:t>T</w:t>
      </w:r>
      <w:r w:rsidR="00147FFA" w:rsidRPr="00A9740D">
        <w:rPr>
          <w:b w:val="0"/>
          <w:bCs/>
          <w:i/>
          <w:iCs/>
          <w:color w:val="auto"/>
          <w:sz w:val="22"/>
          <w:szCs w:val="22"/>
        </w:rPr>
        <w:t>he recommendations of the Independent Inquiry into the Tasmanian Department of Education’s Responses to Child Sexual Abuse</w:t>
      </w:r>
      <w:r>
        <w:rPr>
          <w:b w:val="0"/>
          <w:bCs/>
          <w:i/>
          <w:iCs/>
          <w:color w:val="auto"/>
          <w:sz w:val="22"/>
          <w:szCs w:val="22"/>
        </w:rPr>
        <w:t>.</w:t>
      </w:r>
    </w:p>
    <w:p w14:paraId="21155166" w14:textId="351ADC02" w:rsidR="00147FFA" w:rsidRPr="00A9740D" w:rsidRDefault="00A9740D" w:rsidP="00A9740D">
      <w:pPr>
        <w:pStyle w:val="TasCOSSSubhead1"/>
        <w:numPr>
          <w:ilvl w:val="0"/>
          <w:numId w:val="17"/>
        </w:numPr>
        <w:jc w:val="both"/>
        <w:rPr>
          <w:b w:val="0"/>
          <w:bCs/>
          <w:i/>
          <w:iCs/>
          <w:color w:val="auto"/>
          <w:sz w:val="22"/>
          <w:szCs w:val="22"/>
        </w:rPr>
      </w:pPr>
      <w:r>
        <w:rPr>
          <w:b w:val="0"/>
          <w:bCs/>
          <w:i/>
          <w:iCs/>
          <w:color w:val="auto"/>
          <w:sz w:val="22"/>
          <w:szCs w:val="22"/>
        </w:rPr>
        <w:t>U</w:t>
      </w:r>
      <w:r w:rsidR="00147FFA" w:rsidRPr="00A9740D">
        <w:rPr>
          <w:b w:val="0"/>
          <w:bCs/>
          <w:i/>
          <w:iCs/>
          <w:color w:val="auto"/>
          <w:sz w:val="22"/>
          <w:szCs w:val="22"/>
        </w:rPr>
        <w:t>ndertake independent evaluations of the effectiveness of the measures and actions taken in response to the recommendations identified above, especially the impact on the safety and wellbeing of children in government and government funded institutions and victim-survivors of child sexual abuse in institutional contexts.</w:t>
      </w:r>
    </w:p>
    <w:p w14:paraId="1758A111" w14:textId="77777777" w:rsidR="00A9740D" w:rsidRDefault="00A9740D" w:rsidP="006D39BD">
      <w:pPr>
        <w:pStyle w:val="TasCOSSSubhead1"/>
        <w:rPr>
          <w:b w:val="0"/>
          <w:bCs/>
          <w:i/>
          <w:iCs/>
          <w:color w:val="auto"/>
          <w:sz w:val="22"/>
          <w:szCs w:val="22"/>
        </w:rPr>
      </w:pPr>
    </w:p>
    <w:p w14:paraId="3A0F1B7F" w14:textId="77777777" w:rsidR="00442254" w:rsidRDefault="00442254" w:rsidP="006D39BD">
      <w:pPr>
        <w:pStyle w:val="TasCOSSSubhead1"/>
        <w:rPr>
          <w:b w:val="0"/>
          <w:bCs/>
          <w:i/>
          <w:iCs/>
          <w:color w:val="auto"/>
          <w:sz w:val="22"/>
          <w:szCs w:val="22"/>
        </w:rPr>
      </w:pPr>
    </w:p>
    <w:p w14:paraId="0FD91C73" w14:textId="77777777" w:rsidR="00442254" w:rsidRPr="00A9740D" w:rsidRDefault="00442254" w:rsidP="006D39BD">
      <w:pPr>
        <w:pStyle w:val="TasCOSSSubhead1"/>
        <w:rPr>
          <w:b w:val="0"/>
          <w:bCs/>
          <w:i/>
          <w:iCs/>
          <w:color w:val="auto"/>
          <w:sz w:val="22"/>
          <w:szCs w:val="22"/>
        </w:rPr>
      </w:pPr>
    </w:p>
    <w:p w14:paraId="7824B778" w14:textId="77777777" w:rsidR="00A9740D" w:rsidRDefault="00147FFA" w:rsidP="00A9740D">
      <w:pPr>
        <w:pStyle w:val="TasCOSSSubhead1"/>
        <w:numPr>
          <w:ilvl w:val="0"/>
          <w:numId w:val="12"/>
        </w:numPr>
        <w:jc w:val="both"/>
        <w:rPr>
          <w:b w:val="0"/>
          <w:bCs/>
          <w:i/>
          <w:iCs/>
          <w:color w:val="auto"/>
          <w:sz w:val="22"/>
          <w:szCs w:val="22"/>
        </w:rPr>
      </w:pPr>
      <w:r w:rsidRPr="00A9740D">
        <w:rPr>
          <w:b w:val="0"/>
          <w:bCs/>
          <w:i/>
          <w:iCs/>
          <w:color w:val="auto"/>
          <w:sz w:val="22"/>
          <w:szCs w:val="22"/>
        </w:rPr>
        <w:lastRenderedPageBreak/>
        <w:t>Independent evaluations should enable assessment of change over time and involve:</w:t>
      </w:r>
    </w:p>
    <w:p w14:paraId="7F465672" w14:textId="7453A377" w:rsidR="00A9740D" w:rsidRDefault="00A9740D" w:rsidP="00A9740D">
      <w:pPr>
        <w:pStyle w:val="TasCOSSSubhead1"/>
        <w:numPr>
          <w:ilvl w:val="0"/>
          <w:numId w:val="19"/>
        </w:numPr>
        <w:jc w:val="both"/>
        <w:rPr>
          <w:b w:val="0"/>
          <w:bCs/>
          <w:i/>
          <w:iCs/>
          <w:color w:val="auto"/>
          <w:sz w:val="22"/>
          <w:szCs w:val="22"/>
        </w:rPr>
      </w:pPr>
      <w:r>
        <w:rPr>
          <w:b w:val="0"/>
          <w:bCs/>
          <w:i/>
          <w:iCs/>
          <w:color w:val="auto"/>
          <w:sz w:val="22"/>
          <w:szCs w:val="22"/>
        </w:rPr>
        <w:t>I</w:t>
      </w:r>
      <w:r w:rsidR="00147FFA" w:rsidRPr="00A9740D">
        <w:rPr>
          <w:b w:val="0"/>
          <w:bCs/>
          <w:i/>
          <w:iCs/>
          <w:color w:val="auto"/>
          <w:sz w:val="22"/>
          <w:szCs w:val="22"/>
        </w:rPr>
        <w:t>dentifying an evaluation framework and baseline data requirements within the first year of the appointment of the Implementation Monitor</w:t>
      </w:r>
      <w:r>
        <w:rPr>
          <w:b w:val="0"/>
          <w:bCs/>
          <w:i/>
          <w:iCs/>
          <w:color w:val="auto"/>
          <w:sz w:val="22"/>
          <w:szCs w:val="22"/>
        </w:rPr>
        <w:t>;</w:t>
      </w:r>
    </w:p>
    <w:p w14:paraId="16D817DC" w14:textId="3DD59041" w:rsidR="00A9740D" w:rsidRDefault="00A9740D" w:rsidP="00A9740D">
      <w:pPr>
        <w:pStyle w:val="TasCOSSSubhead1"/>
        <w:numPr>
          <w:ilvl w:val="0"/>
          <w:numId w:val="19"/>
        </w:numPr>
        <w:jc w:val="both"/>
        <w:rPr>
          <w:b w:val="0"/>
          <w:bCs/>
          <w:i/>
          <w:iCs/>
          <w:color w:val="auto"/>
          <w:sz w:val="22"/>
          <w:szCs w:val="22"/>
        </w:rPr>
      </w:pPr>
      <w:r>
        <w:rPr>
          <w:b w:val="0"/>
          <w:bCs/>
          <w:i/>
          <w:iCs/>
          <w:color w:val="auto"/>
          <w:sz w:val="22"/>
          <w:szCs w:val="22"/>
        </w:rPr>
        <w:t>C</w:t>
      </w:r>
      <w:r w:rsidR="00147FFA" w:rsidRPr="00A9740D">
        <w:rPr>
          <w:b w:val="0"/>
          <w:bCs/>
          <w:i/>
          <w:iCs/>
          <w:color w:val="auto"/>
          <w:sz w:val="22"/>
          <w:szCs w:val="22"/>
        </w:rPr>
        <w:t>ommencing collection of data identified in the evaluation framework as soon as possible after the evaluation framework has been developed</w:t>
      </w:r>
      <w:r>
        <w:rPr>
          <w:b w:val="0"/>
          <w:bCs/>
          <w:i/>
          <w:iCs/>
          <w:color w:val="auto"/>
          <w:sz w:val="22"/>
          <w:szCs w:val="22"/>
        </w:rPr>
        <w:t>;</w:t>
      </w:r>
    </w:p>
    <w:p w14:paraId="780071AC" w14:textId="77777777" w:rsidR="00A9740D" w:rsidRDefault="00A9740D" w:rsidP="00A9740D">
      <w:pPr>
        <w:pStyle w:val="TasCOSSSubhead1"/>
        <w:numPr>
          <w:ilvl w:val="0"/>
          <w:numId w:val="19"/>
        </w:numPr>
        <w:jc w:val="both"/>
        <w:rPr>
          <w:b w:val="0"/>
          <w:bCs/>
          <w:i/>
          <w:iCs/>
          <w:color w:val="auto"/>
          <w:sz w:val="22"/>
          <w:szCs w:val="22"/>
        </w:rPr>
      </w:pPr>
      <w:r>
        <w:rPr>
          <w:b w:val="0"/>
          <w:bCs/>
          <w:i/>
          <w:iCs/>
          <w:color w:val="auto"/>
          <w:sz w:val="22"/>
          <w:szCs w:val="22"/>
        </w:rPr>
        <w:t>A</w:t>
      </w:r>
      <w:r w:rsidR="00147FFA" w:rsidRPr="00A9740D">
        <w:rPr>
          <w:b w:val="0"/>
          <w:bCs/>
          <w:i/>
          <w:iCs/>
          <w:color w:val="auto"/>
          <w:sz w:val="22"/>
          <w:szCs w:val="22"/>
        </w:rPr>
        <w:t>ssessing the change against the evaluation framework at five- and ten-year intervals following the tabling of this report</w:t>
      </w:r>
      <w:r>
        <w:rPr>
          <w:b w:val="0"/>
          <w:bCs/>
          <w:i/>
          <w:iCs/>
          <w:color w:val="auto"/>
          <w:sz w:val="22"/>
          <w:szCs w:val="22"/>
        </w:rPr>
        <w:t>; and</w:t>
      </w:r>
    </w:p>
    <w:p w14:paraId="0E418B66" w14:textId="1FC7AC5B" w:rsidR="00147FFA" w:rsidRPr="00A9740D" w:rsidRDefault="00A9740D" w:rsidP="00A9740D">
      <w:pPr>
        <w:pStyle w:val="TasCOSSSubhead1"/>
        <w:numPr>
          <w:ilvl w:val="0"/>
          <w:numId w:val="19"/>
        </w:numPr>
        <w:jc w:val="both"/>
        <w:rPr>
          <w:b w:val="0"/>
          <w:bCs/>
          <w:i/>
          <w:iCs/>
          <w:color w:val="auto"/>
          <w:sz w:val="22"/>
          <w:szCs w:val="22"/>
        </w:rPr>
      </w:pPr>
      <w:r>
        <w:rPr>
          <w:b w:val="0"/>
          <w:bCs/>
          <w:i/>
          <w:iCs/>
          <w:color w:val="auto"/>
          <w:sz w:val="22"/>
          <w:szCs w:val="22"/>
        </w:rPr>
        <w:t>M</w:t>
      </w:r>
      <w:r w:rsidR="00147FFA" w:rsidRPr="00A9740D">
        <w:rPr>
          <w:b w:val="0"/>
          <w:bCs/>
          <w:i/>
          <w:iCs/>
          <w:color w:val="auto"/>
          <w:sz w:val="22"/>
          <w:szCs w:val="22"/>
        </w:rPr>
        <w:t xml:space="preserve">aking independent evaluations publicly available. </w:t>
      </w:r>
    </w:p>
    <w:p w14:paraId="2A8E2D79" w14:textId="77777777" w:rsidR="007B1342" w:rsidRPr="00A9740D" w:rsidRDefault="007B1342" w:rsidP="008B7D4F">
      <w:pPr>
        <w:pStyle w:val="TasCOSSSubhead1"/>
        <w:jc w:val="both"/>
        <w:rPr>
          <w:b w:val="0"/>
          <w:bCs/>
          <w:i/>
          <w:iCs/>
          <w:color w:val="auto"/>
          <w:sz w:val="22"/>
          <w:szCs w:val="22"/>
        </w:rPr>
      </w:pPr>
    </w:p>
    <w:p w14:paraId="042A687E" w14:textId="77777777" w:rsidR="00A9740D" w:rsidRDefault="00147FFA" w:rsidP="00A9740D">
      <w:pPr>
        <w:pStyle w:val="TasCOSSSubhead1"/>
        <w:numPr>
          <w:ilvl w:val="0"/>
          <w:numId w:val="12"/>
        </w:numPr>
        <w:jc w:val="both"/>
        <w:rPr>
          <w:b w:val="0"/>
          <w:bCs/>
          <w:i/>
          <w:iCs/>
          <w:color w:val="auto"/>
          <w:sz w:val="22"/>
          <w:szCs w:val="22"/>
        </w:rPr>
      </w:pPr>
      <w:r w:rsidRPr="00A9740D">
        <w:rPr>
          <w:b w:val="0"/>
          <w:bCs/>
          <w:i/>
          <w:iCs/>
          <w:color w:val="auto"/>
          <w:sz w:val="22"/>
          <w:szCs w:val="22"/>
        </w:rPr>
        <w:t>The Tasmanian Government should protect the independence of the Implementation Monitor by:</w:t>
      </w:r>
    </w:p>
    <w:p w14:paraId="1F0FDEBA" w14:textId="22D391B4" w:rsidR="00A9740D" w:rsidRDefault="00A9740D" w:rsidP="00A9740D">
      <w:pPr>
        <w:pStyle w:val="TasCOSSSubhead1"/>
        <w:numPr>
          <w:ilvl w:val="0"/>
          <w:numId w:val="21"/>
        </w:numPr>
        <w:jc w:val="both"/>
        <w:rPr>
          <w:b w:val="0"/>
          <w:bCs/>
          <w:i/>
          <w:iCs/>
          <w:color w:val="auto"/>
          <w:sz w:val="22"/>
          <w:szCs w:val="22"/>
        </w:rPr>
      </w:pPr>
      <w:r>
        <w:rPr>
          <w:b w:val="0"/>
          <w:bCs/>
          <w:i/>
          <w:iCs/>
          <w:color w:val="auto"/>
          <w:sz w:val="22"/>
          <w:szCs w:val="22"/>
        </w:rPr>
        <w:t>A</w:t>
      </w:r>
      <w:r w:rsidR="00147FFA" w:rsidRPr="00A9740D">
        <w:rPr>
          <w:b w:val="0"/>
          <w:bCs/>
          <w:i/>
          <w:iCs/>
          <w:color w:val="auto"/>
          <w:sz w:val="22"/>
          <w:szCs w:val="22"/>
        </w:rPr>
        <w:t>ppointing the Implementation Monitor for a fixed term that cannot be prematurely terminated except in extraordinary circumstances</w:t>
      </w:r>
      <w:r>
        <w:rPr>
          <w:b w:val="0"/>
          <w:bCs/>
          <w:i/>
          <w:iCs/>
          <w:color w:val="auto"/>
          <w:sz w:val="22"/>
          <w:szCs w:val="22"/>
        </w:rPr>
        <w:t>;</w:t>
      </w:r>
    </w:p>
    <w:p w14:paraId="684A9BA4" w14:textId="5595EB7D" w:rsidR="00A9740D" w:rsidRDefault="00A9740D" w:rsidP="00A9740D">
      <w:pPr>
        <w:pStyle w:val="TasCOSSSubhead1"/>
        <w:numPr>
          <w:ilvl w:val="0"/>
          <w:numId w:val="21"/>
        </w:numPr>
        <w:jc w:val="both"/>
        <w:rPr>
          <w:b w:val="0"/>
          <w:bCs/>
          <w:i/>
          <w:iCs/>
          <w:color w:val="auto"/>
          <w:sz w:val="22"/>
          <w:szCs w:val="22"/>
        </w:rPr>
      </w:pPr>
      <w:r>
        <w:rPr>
          <w:b w:val="0"/>
          <w:bCs/>
          <w:i/>
          <w:iCs/>
          <w:color w:val="auto"/>
          <w:sz w:val="22"/>
          <w:szCs w:val="22"/>
        </w:rPr>
        <w:t>M</w:t>
      </w:r>
      <w:r w:rsidR="00147FFA" w:rsidRPr="00A9740D">
        <w:rPr>
          <w:b w:val="0"/>
          <w:bCs/>
          <w:i/>
          <w:iCs/>
          <w:color w:val="auto"/>
          <w:sz w:val="22"/>
          <w:szCs w:val="22"/>
        </w:rPr>
        <w:t>aintaining the role of the Implementation Monitor until implementation of the recommendations identified above is substantively complete</w:t>
      </w:r>
      <w:r>
        <w:rPr>
          <w:b w:val="0"/>
          <w:bCs/>
          <w:i/>
          <w:iCs/>
          <w:color w:val="auto"/>
          <w:sz w:val="22"/>
          <w:szCs w:val="22"/>
        </w:rPr>
        <w:t>; and</w:t>
      </w:r>
    </w:p>
    <w:p w14:paraId="240DE6E4" w14:textId="032A97E6" w:rsidR="00147FFA" w:rsidRPr="00A9740D" w:rsidRDefault="00A9740D" w:rsidP="00A9740D">
      <w:pPr>
        <w:pStyle w:val="TasCOSSSubhead1"/>
        <w:numPr>
          <w:ilvl w:val="0"/>
          <w:numId w:val="21"/>
        </w:numPr>
        <w:jc w:val="both"/>
        <w:rPr>
          <w:b w:val="0"/>
          <w:bCs/>
          <w:i/>
          <w:iCs/>
          <w:color w:val="auto"/>
          <w:sz w:val="22"/>
          <w:szCs w:val="22"/>
        </w:rPr>
      </w:pPr>
      <w:r>
        <w:rPr>
          <w:b w:val="0"/>
          <w:bCs/>
          <w:i/>
          <w:iCs/>
          <w:color w:val="auto"/>
          <w:sz w:val="22"/>
          <w:szCs w:val="22"/>
        </w:rPr>
        <w:t>S</w:t>
      </w:r>
      <w:r w:rsidR="00147FFA" w:rsidRPr="00A9740D">
        <w:rPr>
          <w:b w:val="0"/>
          <w:bCs/>
          <w:i/>
          <w:iCs/>
          <w:color w:val="auto"/>
          <w:sz w:val="22"/>
          <w:szCs w:val="22"/>
        </w:rPr>
        <w:t>eparately and directly funding the Implementation Monitor, rather than through a line agency.</w:t>
      </w:r>
    </w:p>
    <w:p w14:paraId="01B9F119" w14:textId="77777777" w:rsidR="007B1342" w:rsidRPr="00A9740D" w:rsidRDefault="007B1342" w:rsidP="008B7D4F">
      <w:pPr>
        <w:pStyle w:val="TasCOSSSubhead1"/>
        <w:ind w:left="1440"/>
        <w:jc w:val="both"/>
        <w:rPr>
          <w:b w:val="0"/>
          <w:bCs/>
          <w:i/>
          <w:iCs/>
          <w:color w:val="auto"/>
          <w:sz w:val="22"/>
          <w:szCs w:val="22"/>
        </w:rPr>
      </w:pPr>
    </w:p>
    <w:p w14:paraId="4C1E36D4" w14:textId="77777777" w:rsidR="00A9740D" w:rsidRDefault="00ED663C" w:rsidP="00A9740D">
      <w:pPr>
        <w:pStyle w:val="TasCOSSSubhead1"/>
        <w:numPr>
          <w:ilvl w:val="0"/>
          <w:numId w:val="12"/>
        </w:numPr>
        <w:jc w:val="both"/>
        <w:rPr>
          <w:b w:val="0"/>
          <w:bCs/>
          <w:i/>
          <w:iCs/>
          <w:color w:val="auto"/>
          <w:sz w:val="22"/>
          <w:szCs w:val="22"/>
        </w:rPr>
      </w:pPr>
      <w:r w:rsidRPr="00A9740D">
        <w:rPr>
          <w:b w:val="0"/>
          <w:bCs/>
          <w:i/>
          <w:iCs/>
          <w:color w:val="auto"/>
          <w:sz w:val="22"/>
          <w:szCs w:val="22"/>
        </w:rPr>
        <w:t>The Tasmanian Government, through the Secretaries Board, should be required to report to:</w:t>
      </w:r>
    </w:p>
    <w:p w14:paraId="64463502" w14:textId="4377AA53" w:rsidR="00A9740D" w:rsidRDefault="00ED663C" w:rsidP="00A9740D">
      <w:pPr>
        <w:pStyle w:val="TasCOSSSubhead1"/>
        <w:numPr>
          <w:ilvl w:val="0"/>
          <w:numId w:val="23"/>
        </w:numPr>
        <w:jc w:val="both"/>
        <w:rPr>
          <w:b w:val="0"/>
          <w:bCs/>
          <w:i/>
          <w:iCs/>
          <w:color w:val="auto"/>
          <w:sz w:val="22"/>
          <w:szCs w:val="22"/>
        </w:rPr>
      </w:pPr>
      <w:r w:rsidRPr="00A9740D">
        <w:rPr>
          <w:b w:val="0"/>
          <w:bCs/>
          <w:i/>
          <w:iCs/>
          <w:color w:val="auto"/>
          <w:sz w:val="22"/>
          <w:szCs w:val="22"/>
        </w:rPr>
        <w:t xml:space="preserve"> </w:t>
      </w:r>
      <w:r w:rsidR="00A9740D">
        <w:rPr>
          <w:b w:val="0"/>
          <w:bCs/>
          <w:i/>
          <w:iCs/>
          <w:color w:val="auto"/>
          <w:sz w:val="22"/>
          <w:szCs w:val="22"/>
        </w:rPr>
        <w:t>T</w:t>
      </w:r>
      <w:r w:rsidRPr="00A9740D">
        <w:rPr>
          <w:b w:val="0"/>
          <w:bCs/>
          <w:i/>
          <w:iCs/>
          <w:color w:val="auto"/>
          <w:sz w:val="22"/>
          <w:szCs w:val="22"/>
        </w:rPr>
        <w:t>he Implementation Monitor as requested and in the form required by the Implementation Monito</w:t>
      </w:r>
      <w:r w:rsidR="00A9740D">
        <w:rPr>
          <w:b w:val="0"/>
          <w:bCs/>
          <w:i/>
          <w:iCs/>
          <w:color w:val="auto"/>
          <w:sz w:val="22"/>
          <w:szCs w:val="22"/>
        </w:rPr>
        <w:t>r; and</w:t>
      </w:r>
    </w:p>
    <w:p w14:paraId="5F71B2E9" w14:textId="5C3E9A7A" w:rsidR="00ED663C" w:rsidRPr="00A9740D" w:rsidRDefault="00A9740D" w:rsidP="00A9740D">
      <w:pPr>
        <w:pStyle w:val="TasCOSSSubhead1"/>
        <w:numPr>
          <w:ilvl w:val="0"/>
          <w:numId w:val="23"/>
        </w:numPr>
        <w:jc w:val="both"/>
        <w:rPr>
          <w:b w:val="0"/>
          <w:bCs/>
          <w:i/>
          <w:iCs/>
          <w:color w:val="auto"/>
          <w:sz w:val="22"/>
          <w:szCs w:val="22"/>
        </w:rPr>
      </w:pPr>
      <w:r>
        <w:rPr>
          <w:b w:val="0"/>
          <w:bCs/>
          <w:i/>
          <w:iCs/>
          <w:color w:val="auto"/>
          <w:sz w:val="22"/>
          <w:szCs w:val="22"/>
        </w:rPr>
        <w:t>T</w:t>
      </w:r>
      <w:r w:rsidR="00ED663C" w:rsidRPr="00A9740D">
        <w:rPr>
          <w:b w:val="0"/>
          <w:bCs/>
          <w:i/>
          <w:iCs/>
          <w:color w:val="auto"/>
          <w:sz w:val="22"/>
          <w:szCs w:val="22"/>
        </w:rPr>
        <w:t>he public on its implementation and reform activity through the Department of Premier and Cabinet’s annual report.</w:t>
      </w:r>
    </w:p>
    <w:p w14:paraId="505AB4FD" w14:textId="77777777" w:rsidR="007B1342" w:rsidRPr="00A9740D" w:rsidRDefault="007B1342" w:rsidP="008B7D4F">
      <w:pPr>
        <w:pStyle w:val="TasCOSSSubhead1"/>
        <w:ind w:left="1440"/>
        <w:jc w:val="both"/>
        <w:rPr>
          <w:b w:val="0"/>
          <w:bCs/>
          <w:i/>
          <w:iCs/>
          <w:color w:val="auto"/>
          <w:sz w:val="22"/>
          <w:szCs w:val="22"/>
        </w:rPr>
      </w:pPr>
    </w:p>
    <w:p w14:paraId="2862D64B" w14:textId="1A93F95B" w:rsidR="00A9740D" w:rsidRDefault="00ED663C" w:rsidP="00A9740D">
      <w:pPr>
        <w:pStyle w:val="TasCOSSSubhead1"/>
        <w:numPr>
          <w:ilvl w:val="0"/>
          <w:numId w:val="12"/>
        </w:numPr>
        <w:jc w:val="both"/>
        <w:rPr>
          <w:b w:val="0"/>
          <w:bCs/>
          <w:i/>
          <w:iCs/>
          <w:color w:val="auto"/>
          <w:sz w:val="22"/>
          <w:szCs w:val="22"/>
        </w:rPr>
      </w:pPr>
      <w:r w:rsidRPr="00A9740D">
        <w:rPr>
          <w:b w:val="0"/>
          <w:bCs/>
          <w:i/>
          <w:iCs/>
          <w:color w:val="auto"/>
          <w:sz w:val="22"/>
          <w:szCs w:val="22"/>
        </w:rPr>
        <w:t>The Implementation Monitor should consult as required with:</w:t>
      </w:r>
    </w:p>
    <w:p w14:paraId="1EABB160" w14:textId="2ED703F1" w:rsidR="00A9740D" w:rsidRDefault="00A9740D" w:rsidP="00A9740D">
      <w:pPr>
        <w:pStyle w:val="TasCOSSSubhead1"/>
        <w:numPr>
          <w:ilvl w:val="0"/>
          <w:numId w:val="22"/>
        </w:numPr>
        <w:jc w:val="both"/>
        <w:rPr>
          <w:b w:val="0"/>
          <w:bCs/>
          <w:i/>
          <w:iCs/>
          <w:color w:val="auto"/>
          <w:sz w:val="22"/>
          <w:szCs w:val="22"/>
        </w:rPr>
      </w:pPr>
      <w:r>
        <w:rPr>
          <w:b w:val="0"/>
          <w:bCs/>
          <w:i/>
          <w:iCs/>
          <w:color w:val="auto"/>
          <w:sz w:val="22"/>
          <w:szCs w:val="22"/>
        </w:rPr>
        <w:t>T</w:t>
      </w:r>
      <w:r w:rsidR="00ED663C" w:rsidRPr="00A9740D">
        <w:rPr>
          <w:b w:val="0"/>
          <w:bCs/>
          <w:i/>
          <w:iCs/>
          <w:color w:val="auto"/>
          <w:sz w:val="22"/>
          <w:szCs w:val="22"/>
        </w:rPr>
        <w:t>he Premier’s Youth Advisory Council</w:t>
      </w:r>
      <w:r w:rsidR="00442254">
        <w:rPr>
          <w:b w:val="0"/>
          <w:bCs/>
          <w:i/>
          <w:iCs/>
          <w:color w:val="auto"/>
          <w:sz w:val="22"/>
          <w:szCs w:val="22"/>
        </w:rPr>
        <w:t>;</w:t>
      </w:r>
    </w:p>
    <w:p w14:paraId="544F65FF" w14:textId="28CB4F18" w:rsidR="00A9740D" w:rsidRDefault="00442254" w:rsidP="00A9740D">
      <w:pPr>
        <w:pStyle w:val="TasCOSSSubhead1"/>
        <w:numPr>
          <w:ilvl w:val="0"/>
          <w:numId w:val="22"/>
        </w:numPr>
        <w:jc w:val="both"/>
        <w:rPr>
          <w:b w:val="0"/>
          <w:bCs/>
          <w:i/>
          <w:iCs/>
          <w:color w:val="auto"/>
          <w:sz w:val="22"/>
          <w:szCs w:val="22"/>
        </w:rPr>
      </w:pPr>
      <w:r>
        <w:rPr>
          <w:b w:val="0"/>
          <w:bCs/>
          <w:i/>
          <w:iCs/>
          <w:color w:val="auto"/>
          <w:sz w:val="22"/>
          <w:szCs w:val="22"/>
        </w:rPr>
        <w:t>T</w:t>
      </w:r>
      <w:r w:rsidR="00ED663C" w:rsidRPr="00A9740D">
        <w:rPr>
          <w:b w:val="0"/>
          <w:bCs/>
          <w:i/>
          <w:iCs/>
          <w:color w:val="auto"/>
          <w:sz w:val="22"/>
          <w:szCs w:val="22"/>
        </w:rPr>
        <w:t>he adult victim-survivors of child sexual abuse advisory group (Recommendation 19.5)</w:t>
      </w:r>
      <w:r>
        <w:rPr>
          <w:b w:val="0"/>
          <w:bCs/>
          <w:i/>
          <w:iCs/>
          <w:color w:val="auto"/>
          <w:sz w:val="22"/>
          <w:szCs w:val="22"/>
        </w:rPr>
        <w:t>;</w:t>
      </w:r>
    </w:p>
    <w:p w14:paraId="298143C9" w14:textId="48CF28EF" w:rsidR="00A9740D" w:rsidRDefault="00442254" w:rsidP="00A9740D">
      <w:pPr>
        <w:pStyle w:val="TasCOSSSubhead1"/>
        <w:numPr>
          <w:ilvl w:val="0"/>
          <w:numId w:val="22"/>
        </w:numPr>
        <w:jc w:val="both"/>
        <w:rPr>
          <w:b w:val="0"/>
          <w:bCs/>
          <w:i/>
          <w:iCs/>
          <w:color w:val="auto"/>
          <w:sz w:val="22"/>
          <w:szCs w:val="22"/>
        </w:rPr>
      </w:pPr>
      <w:r>
        <w:rPr>
          <w:b w:val="0"/>
          <w:bCs/>
          <w:i/>
          <w:iCs/>
          <w:color w:val="auto"/>
          <w:sz w:val="22"/>
          <w:szCs w:val="22"/>
        </w:rPr>
        <w:t>T</w:t>
      </w:r>
      <w:r w:rsidR="00ED663C" w:rsidRPr="00A9740D">
        <w:rPr>
          <w:b w:val="0"/>
          <w:bCs/>
          <w:i/>
          <w:iCs/>
          <w:color w:val="auto"/>
          <w:sz w:val="22"/>
          <w:szCs w:val="22"/>
        </w:rPr>
        <w:t>he peak body for the sexual assault service system (Recommendation 21.3)</w:t>
      </w:r>
      <w:r>
        <w:rPr>
          <w:b w:val="0"/>
          <w:bCs/>
          <w:i/>
          <w:iCs/>
          <w:color w:val="auto"/>
          <w:sz w:val="22"/>
          <w:szCs w:val="22"/>
        </w:rPr>
        <w:t>; and</w:t>
      </w:r>
    </w:p>
    <w:p w14:paraId="22E61212" w14:textId="296992AA" w:rsidR="00ED663C" w:rsidRPr="00A9740D" w:rsidRDefault="00442254" w:rsidP="00A9740D">
      <w:pPr>
        <w:pStyle w:val="TasCOSSSubhead1"/>
        <w:numPr>
          <w:ilvl w:val="0"/>
          <w:numId w:val="22"/>
        </w:numPr>
        <w:jc w:val="both"/>
        <w:rPr>
          <w:b w:val="0"/>
          <w:bCs/>
          <w:i/>
          <w:iCs/>
          <w:color w:val="auto"/>
          <w:sz w:val="22"/>
          <w:szCs w:val="22"/>
        </w:rPr>
      </w:pPr>
      <w:r>
        <w:rPr>
          <w:b w:val="0"/>
          <w:bCs/>
          <w:i/>
          <w:iCs/>
          <w:color w:val="auto"/>
          <w:sz w:val="22"/>
          <w:szCs w:val="22"/>
        </w:rPr>
        <w:t>T</w:t>
      </w:r>
      <w:r w:rsidR="00ED663C" w:rsidRPr="00A9740D">
        <w:rPr>
          <w:b w:val="0"/>
          <w:bCs/>
          <w:i/>
          <w:iCs/>
          <w:color w:val="auto"/>
          <w:sz w:val="22"/>
          <w:szCs w:val="22"/>
        </w:rPr>
        <w:t>he institution-specific advisory groups established within Tasmanian government agencies (Recommendations 9.6, 12.8 and 15.7).</w:t>
      </w:r>
      <w:r w:rsidR="00F81C10" w:rsidRPr="00A9740D">
        <w:rPr>
          <w:rStyle w:val="FootnoteReference"/>
          <w:b w:val="0"/>
          <w:bCs/>
          <w:i/>
          <w:iCs/>
          <w:color w:val="auto"/>
          <w:sz w:val="22"/>
          <w:szCs w:val="22"/>
        </w:rPr>
        <w:footnoteReference w:id="4"/>
      </w:r>
    </w:p>
    <w:p w14:paraId="6703792B" w14:textId="77777777" w:rsidR="00F6674F" w:rsidRPr="00A9740D" w:rsidRDefault="00F6674F" w:rsidP="006D39BD">
      <w:pPr>
        <w:pStyle w:val="TasCOSSSubhead1"/>
        <w:rPr>
          <w:b w:val="0"/>
          <w:i/>
          <w:iCs/>
          <w:color w:val="auto"/>
          <w:sz w:val="22"/>
          <w:szCs w:val="22"/>
          <w:lang w:val="en-AU"/>
        </w:rPr>
      </w:pPr>
    </w:p>
    <w:p w14:paraId="3E39876E" w14:textId="77777777" w:rsidR="00F6674F" w:rsidRPr="00660769" w:rsidRDefault="00F6674F" w:rsidP="008B7D4F">
      <w:pPr>
        <w:pStyle w:val="TasCOSSBodyCopy"/>
        <w:jc w:val="both"/>
      </w:pPr>
      <w:r w:rsidRPr="00660769">
        <w:t xml:space="preserve">We note the Final Report highlighted the importance of three key factors in establishing a Reform Implementation Monitor: </w:t>
      </w:r>
    </w:p>
    <w:p w14:paraId="400D4BF8" w14:textId="77777777" w:rsidR="00F6674F" w:rsidRPr="00660769" w:rsidRDefault="00F6674F" w:rsidP="008B7D4F">
      <w:pPr>
        <w:pStyle w:val="TasCOSSBodyCopy"/>
        <w:jc w:val="both"/>
      </w:pPr>
    </w:p>
    <w:p w14:paraId="59284E19" w14:textId="68487E78" w:rsidR="00F6674F" w:rsidRDefault="00F6674F" w:rsidP="008B7D4F">
      <w:pPr>
        <w:pStyle w:val="TasCOSSBodyCopy"/>
        <w:numPr>
          <w:ilvl w:val="0"/>
          <w:numId w:val="13"/>
        </w:numPr>
        <w:jc w:val="both"/>
      </w:pPr>
      <w:r>
        <w:t>The Reform Implementation Monitor must be independent of Government. Evidence given at the Commission of Inquiry highlighted the importance of independence for similar bodies in other jurisdictions, as the role requires a critical analysis of how the Government is progressing its reform agenda.</w:t>
      </w:r>
      <w:r w:rsidR="00C95A39">
        <w:rPr>
          <w:rStyle w:val="FootnoteReference"/>
          <w:bCs/>
        </w:rPr>
        <w:footnoteReference w:id="5"/>
      </w:r>
      <w:r>
        <w:t xml:space="preserve"> An independent monitor also enhances public confidence in the reform process and improves both transparency and accountability in relation to Government decision-making. </w:t>
      </w:r>
      <w:r w:rsidR="00C95A39">
        <w:t xml:space="preserve"> </w:t>
      </w:r>
    </w:p>
    <w:p w14:paraId="7A48E939" w14:textId="77777777" w:rsidR="00F6674F" w:rsidRDefault="00F6674F" w:rsidP="008B7D4F">
      <w:pPr>
        <w:pStyle w:val="TasCOSSBodyCopy"/>
        <w:numPr>
          <w:ilvl w:val="0"/>
          <w:numId w:val="13"/>
        </w:numPr>
        <w:jc w:val="both"/>
      </w:pPr>
      <w:r>
        <w:lastRenderedPageBreak/>
        <w:t xml:space="preserve">The Reform Implementation Monitor must report publicly on its findings and views, to ensure the Tasmanian public can access information about how the recommendations are being implemented. </w:t>
      </w:r>
    </w:p>
    <w:p w14:paraId="5A282F3C" w14:textId="44360869" w:rsidR="00F6674F" w:rsidRDefault="00F6674F" w:rsidP="008B7D4F">
      <w:pPr>
        <w:pStyle w:val="TasCOSSBodyCopy"/>
        <w:numPr>
          <w:ilvl w:val="0"/>
          <w:numId w:val="13"/>
        </w:numPr>
        <w:jc w:val="both"/>
      </w:pPr>
      <w:r>
        <w:t xml:space="preserve">The Reform Implementation Monitor must be capable of engaging with a wide range of stakeholders in exercising its functions </w:t>
      </w:r>
      <w:r w:rsidR="00442254" w:rsidRPr="00442254">
        <w:t>—</w:t>
      </w:r>
      <w:r>
        <w:t xml:space="preserve"> this includes proactively consulting with service providers and community organisations, as well as those with lived experience, to obtain a broad cross-section of views and experiences to inform its work.  </w:t>
      </w:r>
    </w:p>
    <w:p w14:paraId="0BA46EC1" w14:textId="77777777" w:rsidR="00F6674F" w:rsidRDefault="00F6674F" w:rsidP="004800BE">
      <w:pPr>
        <w:pStyle w:val="TasCOSSBodyCopy"/>
      </w:pPr>
    </w:p>
    <w:p w14:paraId="503FAEF4" w14:textId="3EBA1E69" w:rsidR="00AB58CC" w:rsidRDefault="00AB58CC" w:rsidP="00A97DC3">
      <w:pPr>
        <w:pStyle w:val="TasCOSSBodyCopy"/>
        <w:jc w:val="both"/>
      </w:pPr>
      <w:proofErr w:type="spellStart"/>
      <w:r>
        <w:t>TasCOSS</w:t>
      </w:r>
      <w:proofErr w:type="spellEnd"/>
      <w:r>
        <w:t xml:space="preserve"> supports the full implementation of recommendations from the Commission of Inquiry and the introduction of an independent Reform Implementation Monitor. </w:t>
      </w:r>
      <w:r w:rsidR="0015437F">
        <w:t xml:space="preserve">However, we are concerned some elements of the Draft Bill </w:t>
      </w:r>
      <w:r w:rsidR="00713CC1">
        <w:t xml:space="preserve">may impact </w:t>
      </w:r>
      <w:r w:rsidR="007836DF">
        <w:t xml:space="preserve">the ability of the Reform Implementation Monitor to exercise its functions in a way which promotes the three objectives outlined above. </w:t>
      </w:r>
    </w:p>
    <w:p w14:paraId="383ECFAA" w14:textId="77777777" w:rsidR="007836DF" w:rsidRDefault="007836DF" w:rsidP="006D39BD">
      <w:pPr>
        <w:pStyle w:val="TasCOSSSubhead1"/>
      </w:pPr>
    </w:p>
    <w:p w14:paraId="05923999" w14:textId="09300888" w:rsidR="00B35964" w:rsidRDefault="00B35964" w:rsidP="004800BE">
      <w:pPr>
        <w:pStyle w:val="TasCOSSBodyCopy"/>
      </w:pPr>
      <w:r>
        <w:t>We note the following</w:t>
      </w:r>
      <w:r w:rsidR="008B7D4F">
        <w:t xml:space="preserve"> key issues</w:t>
      </w:r>
      <w:r>
        <w:t xml:space="preserve">: </w:t>
      </w:r>
    </w:p>
    <w:p w14:paraId="17610B50" w14:textId="77777777" w:rsidR="009759BA" w:rsidRDefault="009759BA" w:rsidP="004800BE">
      <w:pPr>
        <w:pStyle w:val="TasCOSSBodyCopy"/>
      </w:pPr>
    </w:p>
    <w:p w14:paraId="1A3CD316" w14:textId="6F10A174" w:rsidR="000758A9" w:rsidRPr="008B7D4F" w:rsidRDefault="009759BA" w:rsidP="00442254">
      <w:pPr>
        <w:pStyle w:val="TasCOSSGraphTitle"/>
        <w:ind w:left="0"/>
        <w:rPr>
          <w:sz w:val="24"/>
          <w:szCs w:val="24"/>
        </w:rPr>
      </w:pPr>
      <w:r w:rsidRPr="008B7D4F">
        <w:rPr>
          <w:sz w:val="24"/>
          <w:szCs w:val="24"/>
        </w:rPr>
        <w:t xml:space="preserve">Independence of the Reform Implementation Monitor </w:t>
      </w:r>
    </w:p>
    <w:p w14:paraId="64D40241" w14:textId="77777777" w:rsidR="00442254" w:rsidRDefault="00442254" w:rsidP="00A97DC3">
      <w:pPr>
        <w:pStyle w:val="TasCOSSBodyCopy"/>
        <w:jc w:val="both"/>
      </w:pPr>
    </w:p>
    <w:p w14:paraId="21E1691E" w14:textId="5E46FFE6" w:rsidR="007836DF" w:rsidRDefault="00B35964" w:rsidP="00A97DC3">
      <w:pPr>
        <w:pStyle w:val="TasCOSSBodyCopy"/>
        <w:jc w:val="both"/>
      </w:pPr>
      <w:r>
        <w:t xml:space="preserve">The </w:t>
      </w:r>
      <w:r w:rsidR="00E528ED">
        <w:t xml:space="preserve">legislation does confirm the </w:t>
      </w:r>
      <w:r>
        <w:t>independence of the Reform Implementation Monitor</w:t>
      </w:r>
      <w:r w:rsidR="00E528ED">
        <w:t xml:space="preserve">, noting </w:t>
      </w:r>
      <w:r w:rsidR="00F045B9">
        <w:t xml:space="preserve">they </w:t>
      </w:r>
      <w:r w:rsidR="00E528ED">
        <w:t xml:space="preserve">will not be </w:t>
      </w:r>
      <w:r w:rsidR="00442254">
        <w:t>“</w:t>
      </w:r>
      <w:r w:rsidR="00E528ED">
        <w:t>subject to the general direction or control of any Minister</w:t>
      </w:r>
      <w:r w:rsidR="00442254">
        <w:t>,”</w:t>
      </w:r>
      <w:r w:rsidR="00E528ED">
        <w:t xml:space="preserve"> and that</w:t>
      </w:r>
      <w:r w:rsidR="00F045B9">
        <w:t xml:space="preserve"> they have </w:t>
      </w:r>
      <w:r w:rsidR="00442254">
        <w:t>“</w:t>
      </w:r>
      <w:r w:rsidR="00F045B9">
        <w:t>complete discretion</w:t>
      </w:r>
      <w:r w:rsidR="00442254">
        <w:t>”</w:t>
      </w:r>
      <w:r w:rsidR="00F045B9">
        <w:t xml:space="preserve"> in relation to the contents of their reports.</w:t>
      </w:r>
      <w:r w:rsidR="00F045B9">
        <w:rPr>
          <w:rStyle w:val="FootnoteReference"/>
          <w:bCs/>
        </w:rPr>
        <w:footnoteReference w:id="6"/>
      </w:r>
      <w:r w:rsidR="00F045B9">
        <w:t xml:space="preserve"> However, given the importance of independence to the function of their role, </w:t>
      </w:r>
      <w:r w:rsidR="00D01D05">
        <w:t xml:space="preserve">we would recommend the inclusion of a separate clause clearly stating their independence from Government </w:t>
      </w:r>
      <w:r w:rsidR="00442254" w:rsidRPr="00442254">
        <w:t>—</w:t>
      </w:r>
      <w:r w:rsidR="00D01D05">
        <w:t xml:space="preserve"> an example can be </w:t>
      </w:r>
      <w:r w:rsidR="00402DFA">
        <w:t>found in the legislation establishing the independent Bushfires Royal Commission Implementation Monitor,</w:t>
      </w:r>
      <w:r w:rsidR="007836DF">
        <w:t xml:space="preserve"> </w:t>
      </w:r>
      <w:r w:rsidR="00057E94">
        <w:t xml:space="preserve">which includes the following subsection in relation to their independence: </w:t>
      </w:r>
    </w:p>
    <w:p w14:paraId="4E127A04" w14:textId="77777777" w:rsidR="00442254" w:rsidRDefault="00442254" w:rsidP="00A97DC3">
      <w:pPr>
        <w:pStyle w:val="TasCOSSBodyCopy"/>
        <w:jc w:val="both"/>
      </w:pPr>
    </w:p>
    <w:p w14:paraId="288CB120" w14:textId="781B07FF" w:rsidR="00057E94" w:rsidRPr="00A97DC3" w:rsidRDefault="00057E94" w:rsidP="00A97DC3">
      <w:pPr>
        <w:pStyle w:val="TasCOSSBodyCopy"/>
        <w:ind w:left="720"/>
        <w:jc w:val="both"/>
        <w:rPr>
          <w:i/>
          <w:iCs/>
        </w:rPr>
      </w:pPr>
      <w:r w:rsidRPr="00A97DC3">
        <w:rPr>
          <w:i/>
          <w:iCs/>
        </w:rPr>
        <w:t>Subject to this Act and other laws of the State, the Implementation Monitor has complete discretion in the performance or exercise of his or her functions, powers or duties.</w:t>
      </w:r>
      <w:r w:rsidRPr="00A97DC3">
        <w:rPr>
          <w:rStyle w:val="FootnoteReference"/>
          <w:bCs/>
          <w:i/>
          <w:iCs/>
        </w:rPr>
        <w:footnoteReference w:id="7"/>
      </w:r>
    </w:p>
    <w:p w14:paraId="65B409F8" w14:textId="77777777" w:rsidR="00A97DC3" w:rsidRDefault="00A97DC3" w:rsidP="00A97DC3">
      <w:pPr>
        <w:pStyle w:val="TasCOSSBodyCopy"/>
        <w:jc w:val="both"/>
      </w:pPr>
    </w:p>
    <w:p w14:paraId="0F2C5D16" w14:textId="4440E713" w:rsidR="00D2089A" w:rsidRDefault="00157C73" w:rsidP="00A97DC3">
      <w:pPr>
        <w:pStyle w:val="TasCOSSBodyCopy"/>
        <w:jc w:val="both"/>
      </w:pPr>
      <w:r>
        <w:t>In addition, t</w:t>
      </w:r>
      <w:r w:rsidR="006F4E9F">
        <w:t xml:space="preserve">he </w:t>
      </w:r>
      <w:r w:rsidR="00BD1305">
        <w:t xml:space="preserve">composition of the office of the Reform Implementation Monitor is unclear </w:t>
      </w:r>
      <w:r w:rsidR="00442254" w:rsidRPr="00442254">
        <w:t>—</w:t>
      </w:r>
      <w:r w:rsidR="00BD1305">
        <w:t xml:space="preserve"> for example, whether </w:t>
      </w:r>
      <w:r w:rsidR="005267D0">
        <w:t xml:space="preserve">the Implementation </w:t>
      </w:r>
      <w:r>
        <w:t>Monitor</w:t>
      </w:r>
      <w:r w:rsidR="00BD1305">
        <w:t xml:space="preserve"> will have the capacity to engage their own independent staff, or whether their office will be </w:t>
      </w:r>
      <w:r w:rsidR="001F554F">
        <w:t xml:space="preserve">solely </w:t>
      </w:r>
      <w:r w:rsidR="00BD1305">
        <w:t xml:space="preserve">staffed by </w:t>
      </w:r>
      <w:r w:rsidR="00442254">
        <w:t xml:space="preserve">Tasmanian </w:t>
      </w:r>
      <w:r w:rsidR="002960DA">
        <w:t xml:space="preserve">State Service officers or employees as outlined in </w:t>
      </w:r>
      <w:r w:rsidR="00E02564">
        <w:t>Cl</w:t>
      </w:r>
      <w:r w:rsidR="002960DA">
        <w:t xml:space="preserve">ause </w:t>
      </w:r>
      <w:r w:rsidR="00E02564">
        <w:t>9</w:t>
      </w:r>
      <w:r w:rsidR="002960DA">
        <w:t xml:space="preserve"> of the Draft Bill.</w:t>
      </w:r>
      <w:r w:rsidR="002960DA">
        <w:rPr>
          <w:rStyle w:val="FootnoteReference"/>
          <w:bCs/>
        </w:rPr>
        <w:footnoteReference w:id="8"/>
      </w:r>
      <w:r w:rsidR="002960DA">
        <w:t xml:space="preserve"> </w:t>
      </w:r>
      <w:proofErr w:type="spellStart"/>
      <w:r w:rsidR="001F0FF8">
        <w:t>TasCOSS</w:t>
      </w:r>
      <w:proofErr w:type="spellEnd"/>
      <w:r w:rsidR="001F0FF8">
        <w:t xml:space="preserve"> recommends the Government consider whether </w:t>
      </w:r>
      <w:r w:rsidR="00D14883">
        <w:t>it might be more appropriate to ensure complete independence of the staff working alongside the Reform Implementation Monitor</w:t>
      </w:r>
      <w:r w:rsidR="008671A0">
        <w:t xml:space="preserve"> </w:t>
      </w:r>
      <w:r w:rsidR="00442254" w:rsidRPr="00442254">
        <w:t>—</w:t>
      </w:r>
      <w:r w:rsidR="008671A0">
        <w:t xml:space="preserve"> that is, that they are not </w:t>
      </w:r>
      <w:r w:rsidR="00442254">
        <w:t xml:space="preserve">Tasmanian </w:t>
      </w:r>
      <w:r w:rsidR="008671A0">
        <w:t xml:space="preserve">State Service officers or employees </w:t>
      </w:r>
      <w:r w:rsidR="00442254" w:rsidRPr="00442254">
        <w:t>—</w:t>
      </w:r>
      <w:r w:rsidR="008671A0">
        <w:t xml:space="preserve"> </w:t>
      </w:r>
      <w:r w:rsidR="00D14883">
        <w:t xml:space="preserve">to ensure they are able to engage in critical review of government decision-making, policy and legislation. </w:t>
      </w:r>
    </w:p>
    <w:p w14:paraId="0D84B3CB" w14:textId="77777777" w:rsidR="009759BA" w:rsidRDefault="009759BA" w:rsidP="006D39BD">
      <w:pPr>
        <w:pStyle w:val="TasCOSSSubhead1"/>
      </w:pPr>
    </w:p>
    <w:p w14:paraId="04B8E81E" w14:textId="77777777" w:rsidR="00442254" w:rsidRDefault="00442254" w:rsidP="006D39BD">
      <w:pPr>
        <w:pStyle w:val="TasCOSSSubhead1"/>
      </w:pPr>
    </w:p>
    <w:p w14:paraId="4F1CBC75" w14:textId="77777777" w:rsidR="00442254" w:rsidRDefault="00442254" w:rsidP="006D39BD">
      <w:pPr>
        <w:pStyle w:val="TasCOSSSubhead1"/>
      </w:pPr>
    </w:p>
    <w:p w14:paraId="138C0F4B" w14:textId="77777777" w:rsidR="00442254" w:rsidRDefault="00442254" w:rsidP="006D39BD">
      <w:pPr>
        <w:pStyle w:val="TasCOSSSubhead1"/>
      </w:pPr>
    </w:p>
    <w:p w14:paraId="3F878D4C" w14:textId="72CAB03B" w:rsidR="000758A9" w:rsidRPr="00A97DC3" w:rsidRDefault="009759BA" w:rsidP="00442254">
      <w:pPr>
        <w:pStyle w:val="TasCOSSGraphTitle"/>
        <w:ind w:left="0"/>
        <w:rPr>
          <w:sz w:val="24"/>
          <w:szCs w:val="24"/>
        </w:rPr>
      </w:pPr>
      <w:r w:rsidRPr="00A97DC3">
        <w:rPr>
          <w:sz w:val="24"/>
          <w:szCs w:val="24"/>
        </w:rPr>
        <w:lastRenderedPageBreak/>
        <w:t xml:space="preserve">Objectives and </w:t>
      </w:r>
      <w:r w:rsidR="00442254">
        <w:rPr>
          <w:sz w:val="24"/>
          <w:szCs w:val="24"/>
        </w:rPr>
        <w:t>P</w:t>
      </w:r>
      <w:r w:rsidRPr="00A97DC3">
        <w:rPr>
          <w:sz w:val="24"/>
          <w:szCs w:val="24"/>
        </w:rPr>
        <w:t>owers</w:t>
      </w:r>
    </w:p>
    <w:p w14:paraId="5A2E4ABB" w14:textId="77777777" w:rsidR="00442254" w:rsidRDefault="00442254" w:rsidP="00A97DC3">
      <w:pPr>
        <w:pStyle w:val="TasCOSSBodyCopy"/>
        <w:jc w:val="both"/>
        <w:rPr>
          <w:b/>
          <w:bCs/>
          <w:i/>
          <w:iCs/>
        </w:rPr>
      </w:pPr>
    </w:p>
    <w:p w14:paraId="780FB805" w14:textId="3DD9736F" w:rsidR="00B8376F" w:rsidRPr="00442254" w:rsidRDefault="00B8376F" w:rsidP="00A97DC3">
      <w:pPr>
        <w:pStyle w:val="TasCOSSBodyCopy"/>
        <w:jc w:val="both"/>
        <w:rPr>
          <w:b/>
          <w:bCs/>
          <w:i/>
          <w:iCs/>
        </w:rPr>
      </w:pPr>
      <w:r w:rsidRPr="00442254">
        <w:rPr>
          <w:b/>
          <w:bCs/>
          <w:i/>
          <w:iCs/>
        </w:rPr>
        <w:t>Scope</w:t>
      </w:r>
    </w:p>
    <w:p w14:paraId="71F75F43" w14:textId="227EC061" w:rsidR="006F4E9F" w:rsidRDefault="000D76FF" w:rsidP="00A97DC3">
      <w:pPr>
        <w:pStyle w:val="TasCOSSBodyCopy"/>
        <w:jc w:val="both"/>
      </w:pPr>
      <w:r>
        <w:t xml:space="preserve">We strongly believe the objectives </w:t>
      </w:r>
      <w:r w:rsidR="00D97E77">
        <w:t xml:space="preserve">of </w:t>
      </w:r>
      <w:r w:rsidR="00710045">
        <w:t xml:space="preserve">the Reform </w:t>
      </w:r>
      <w:r w:rsidR="00D97E77">
        <w:t xml:space="preserve">Implementation Monitor </w:t>
      </w:r>
      <w:r>
        <w:t xml:space="preserve">need to be defined more broadly. </w:t>
      </w:r>
      <w:r w:rsidR="00445AEF">
        <w:t xml:space="preserve">Although the </w:t>
      </w:r>
      <w:r w:rsidR="001803A6">
        <w:t xml:space="preserve">evidence presented </w:t>
      </w:r>
      <w:r w:rsidR="00D97E77">
        <w:t>to</w:t>
      </w:r>
      <w:r w:rsidR="001803A6">
        <w:t xml:space="preserve"> the Commission of Inquiry </w:t>
      </w:r>
      <w:r w:rsidR="00445AEF">
        <w:t>was focused on institutional abuse</w:t>
      </w:r>
      <w:r w:rsidR="001803A6">
        <w:t xml:space="preserve">, many of its recommendations have a far broader application and scope </w:t>
      </w:r>
      <w:r w:rsidR="00442254" w:rsidRPr="00442254">
        <w:t>—</w:t>
      </w:r>
      <w:r w:rsidR="001803A6">
        <w:t xml:space="preserve"> for example, Recommendation </w:t>
      </w:r>
      <w:r w:rsidR="001955E2">
        <w:t xml:space="preserve">19.1 relates to the development of a strategy and action plan in relation to child sexual abuse, including but </w:t>
      </w:r>
      <w:r w:rsidR="00D97E77">
        <w:t>not limited to</w:t>
      </w:r>
      <w:r w:rsidR="001955E2">
        <w:t xml:space="preserve"> </w:t>
      </w:r>
      <w:r w:rsidR="00D97E77">
        <w:t xml:space="preserve">institutional </w:t>
      </w:r>
      <w:r w:rsidR="001955E2">
        <w:t xml:space="preserve">abuse. </w:t>
      </w:r>
      <w:r w:rsidR="00C6002A">
        <w:t xml:space="preserve">We therefore believe it is crucial for the Reform Implementation Monitor to be able to </w:t>
      </w:r>
      <w:r w:rsidR="00BE42CD">
        <w:t>engage with a broad range of stakeholders and consider the effectiveness of reforms in relation to the prevention</w:t>
      </w:r>
      <w:r w:rsidR="00710045">
        <w:t>, identification</w:t>
      </w:r>
      <w:r w:rsidR="00BE42CD">
        <w:t xml:space="preserve"> and responses to child sexual abuse across the </w:t>
      </w:r>
      <w:r w:rsidR="00442254">
        <w:t>s</w:t>
      </w:r>
      <w:r w:rsidR="00BE42CD">
        <w:t xml:space="preserve">tate. </w:t>
      </w:r>
      <w:r w:rsidR="00E67517">
        <w:t xml:space="preserve">We recommend amending </w:t>
      </w:r>
      <w:r w:rsidR="00761AA4">
        <w:t xml:space="preserve">sub-clauses 10(b)(ii) and </w:t>
      </w:r>
      <w:r w:rsidR="004C7866">
        <w:t>10(c)</w:t>
      </w:r>
      <w:r w:rsidR="00530646">
        <w:t>(</w:t>
      </w:r>
      <w:proofErr w:type="spellStart"/>
      <w:r w:rsidR="00530646">
        <w:t>i</w:t>
      </w:r>
      <w:proofErr w:type="spellEnd"/>
      <w:r w:rsidR="00530646">
        <w:t>)(ii)</w:t>
      </w:r>
      <w:r w:rsidR="004C7866">
        <w:t xml:space="preserve"> to remove the words </w:t>
      </w:r>
      <w:r w:rsidR="00442254">
        <w:t>“</w:t>
      </w:r>
      <w:r w:rsidR="004C7866">
        <w:t>in institutions operated by, or on behalf of, the State</w:t>
      </w:r>
      <w:r w:rsidR="00442254">
        <w:t>.”</w:t>
      </w:r>
      <w:r w:rsidR="0006501B">
        <w:rPr>
          <w:rStyle w:val="FootnoteReference"/>
        </w:rPr>
        <w:footnoteReference w:id="9"/>
      </w:r>
      <w:r w:rsidR="004C7866">
        <w:t xml:space="preserve">  </w:t>
      </w:r>
      <w:r w:rsidR="00445AEF">
        <w:t xml:space="preserve"> </w:t>
      </w:r>
      <w:r w:rsidR="001F0FF8">
        <w:t xml:space="preserve">  </w:t>
      </w:r>
    </w:p>
    <w:p w14:paraId="4F137209" w14:textId="77777777" w:rsidR="009759BA" w:rsidRDefault="009759BA" w:rsidP="00A97DC3">
      <w:pPr>
        <w:pStyle w:val="TasCOSSBodyCopy"/>
        <w:jc w:val="both"/>
      </w:pPr>
    </w:p>
    <w:p w14:paraId="68639425" w14:textId="77777777" w:rsidR="00442254" w:rsidRDefault="000758A9" w:rsidP="00A97DC3">
      <w:pPr>
        <w:pStyle w:val="TasCOSSBodyCopy"/>
        <w:jc w:val="both"/>
      </w:pPr>
      <w:r>
        <w:t xml:space="preserve">We </w:t>
      </w:r>
      <w:r w:rsidR="005B2030">
        <w:t xml:space="preserve">further </w:t>
      </w:r>
      <w:r>
        <w:t xml:space="preserve">believe the </w:t>
      </w:r>
      <w:r w:rsidR="00EC19B5">
        <w:t xml:space="preserve">Reform Implementation Monitor should have </w:t>
      </w:r>
      <w:r w:rsidR="00595191">
        <w:t xml:space="preserve">broad scope to monitor the implementation of </w:t>
      </w:r>
      <w:r w:rsidR="0092508A">
        <w:t xml:space="preserve">all </w:t>
      </w:r>
      <w:r w:rsidR="00595191">
        <w:t xml:space="preserve">recommendations from </w:t>
      </w:r>
      <w:r w:rsidR="0092508A">
        <w:t>the National Royal Commission, not only those that were accepted by the Government in its previous response and are yet to be implemented. We believe the implementation of the recommendations from the Commission of Inquiry is likely to involve an ongoing reflection o</w:t>
      </w:r>
      <w:r w:rsidR="00627EAF">
        <w:t>n</w:t>
      </w:r>
      <w:r w:rsidR="0092508A">
        <w:t xml:space="preserve"> recommendations and findings </w:t>
      </w:r>
      <w:r w:rsidR="00814169">
        <w:t xml:space="preserve">from a number of inquiries and investigations, and we </w:t>
      </w:r>
      <w:r w:rsidR="00627EAF">
        <w:t>do not</w:t>
      </w:r>
      <w:r w:rsidR="00814169">
        <w:t xml:space="preserve"> believe the </w:t>
      </w:r>
      <w:r w:rsidR="0032145B">
        <w:t>implementation process should be restricted to what was agreed to or prioritised by the Government in 2018</w:t>
      </w:r>
      <w:r w:rsidR="00D9614D">
        <w:t xml:space="preserve">. </w:t>
      </w:r>
    </w:p>
    <w:p w14:paraId="16FA49FF" w14:textId="77777777" w:rsidR="00442254" w:rsidRDefault="00442254" w:rsidP="00A97DC3">
      <w:pPr>
        <w:pStyle w:val="TasCOSSBodyCopy"/>
        <w:jc w:val="both"/>
      </w:pPr>
    </w:p>
    <w:p w14:paraId="49259FFC" w14:textId="4F37490D" w:rsidR="00442254" w:rsidRDefault="00D9614D" w:rsidP="00A97DC3">
      <w:pPr>
        <w:pStyle w:val="TasCOSSBodyCopy"/>
        <w:jc w:val="both"/>
      </w:pPr>
      <w:r>
        <w:t>We recommend a change in wording to Clause 11(1)(b)</w:t>
      </w:r>
      <w:r w:rsidR="00442254">
        <w:t>, as per the following:</w:t>
      </w:r>
    </w:p>
    <w:p w14:paraId="56859E74" w14:textId="77777777" w:rsidR="00442254" w:rsidRDefault="00442254" w:rsidP="00A97DC3">
      <w:pPr>
        <w:pStyle w:val="TasCOSSBodyCopy"/>
        <w:jc w:val="both"/>
      </w:pPr>
    </w:p>
    <w:p w14:paraId="35BA11D8" w14:textId="7F07D659" w:rsidR="000758A9" w:rsidRPr="00442254" w:rsidRDefault="00442254" w:rsidP="00442254">
      <w:pPr>
        <w:pStyle w:val="TasCOSSBodyCopy"/>
        <w:ind w:left="720"/>
        <w:jc w:val="both"/>
        <w:rPr>
          <w:i/>
          <w:iCs/>
        </w:rPr>
      </w:pPr>
      <w:r w:rsidRPr="00442254">
        <w:rPr>
          <w:i/>
          <w:iCs/>
        </w:rPr>
        <w:t>T</w:t>
      </w:r>
      <w:r w:rsidR="00024497" w:rsidRPr="00442254">
        <w:rPr>
          <w:i/>
          <w:iCs/>
        </w:rPr>
        <w:t xml:space="preserve">o monitor the implementation of any recommendations contained in the Royal Commission into Institutional Responses to Child Sexual Abuse, or any other </w:t>
      </w:r>
      <w:r w:rsidR="00F4591E" w:rsidRPr="00442254">
        <w:rPr>
          <w:i/>
          <w:iCs/>
        </w:rPr>
        <w:t>national or State inquiries determined to be relevant</w:t>
      </w:r>
      <w:r w:rsidR="003918B4" w:rsidRPr="00442254">
        <w:rPr>
          <w:i/>
          <w:iCs/>
        </w:rPr>
        <w:t>.</w:t>
      </w:r>
    </w:p>
    <w:p w14:paraId="23408738" w14:textId="77777777" w:rsidR="005A51F1" w:rsidRDefault="005A51F1" w:rsidP="004800BE">
      <w:pPr>
        <w:pStyle w:val="TasCOSSBodyCopy"/>
      </w:pPr>
    </w:p>
    <w:p w14:paraId="491112E6" w14:textId="45A5F249" w:rsidR="00B8376F" w:rsidRPr="00442254" w:rsidRDefault="00B8376F" w:rsidP="004800BE">
      <w:pPr>
        <w:pStyle w:val="TasCOSSBodyCopy"/>
        <w:rPr>
          <w:b/>
          <w:bCs/>
          <w:i/>
          <w:iCs/>
        </w:rPr>
      </w:pPr>
      <w:r w:rsidRPr="00442254">
        <w:rPr>
          <w:b/>
          <w:bCs/>
          <w:i/>
          <w:iCs/>
        </w:rPr>
        <w:t xml:space="preserve">Information </w:t>
      </w:r>
      <w:r w:rsidR="00442254" w:rsidRPr="00442254">
        <w:rPr>
          <w:b/>
          <w:bCs/>
          <w:i/>
          <w:iCs/>
        </w:rPr>
        <w:t>G</w:t>
      </w:r>
      <w:r w:rsidRPr="00442254">
        <w:rPr>
          <w:b/>
          <w:bCs/>
          <w:i/>
          <w:iCs/>
        </w:rPr>
        <w:t>athering</w:t>
      </w:r>
    </w:p>
    <w:p w14:paraId="7528C7DC" w14:textId="366431C9" w:rsidR="00D95BC1" w:rsidRDefault="005A51F1" w:rsidP="00A97DC3">
      <w:pPr>
        <w:pStyle w:val="TasCOSSBodyCopy"/>
        <w:jc w:val="both"/>
      </w:pPr>
      <w:r>
        <w:t xml:space="preserve">In relation to the </w:t>
      </w:r>
      <w:r w:rsidR="00586BF6">
        <w:t xml:space="preserve">information gathering powers of the Reform Implementation Monitor, we are concerned </w:t>
      </w:r>
      <w:r w:rsidR="003918B4">
        <w:t>by</w:t>
      </w:r>
      <w:r w:rsidR="00586BF6">
        <w:t xml:space="preserve"> the exceptions provided in Clause 14. </w:t>
      </w:r>
      <w:r w:rsidR="000226D5">
        <w:t>Our understanding of the role of the Reform Implementation Monitor is that they will be overseeing and reviewing Government responses</w:t>
      </w:r>
      <w:r w:rsidR="00A40A2F">
        <w:t xml:space="preserve">, priorities and actions </w:t>
      </w:r>
      <w:r w:rsidR="00E02564" w:rsidRPr="00442254">
        <w:t>—</w:t>
      </w:r>
      <w:r w:rsidR="00A40A2F">
        <w:t xml:space="preserve"> we </w:t>
      </w:r>
      <w:r w:rsidR="006F0A05">
        <w:t>do not</w:t>
      </w:r>
      <w:r w:rsidR="00A40A2F">
        <w:t xml:space="preserve"> understand why the outlined exemptions would therefore be justified</w:t>
      </w:r>
      <w:r w:rsidR="0049419B">
        <w:t xml:space="preserve">. For example, if providing </w:t>
      </w:r>
      <w:r w:rsidR="008965C9">
        <w:t xml:space="preserve">information to the Reform Implementation Monitor </w:t>
      </w:r>
      <w:r w:rsidR="0049419B">
        <w:t>may incrimi</w:t>
      </w:r>
      <w:r w:rsidR="006550D6">
        <w:t>nate a person in respect of an offence or a crime</w:t>
      </w:r>
      <w:r w:rsidR="00E02564">
        <w:t xml:space="preserve">, </w:t>
      </w:r>
      <w:r w:rsidR="006550D6">
        <w:t xml:space="preserve">as outlined in the exception in </w:t>
      </w:r>
      <w:r w:rsidR="00C65A5D">
        <w:t xml:space="preserve">Clause 14(1)(c), </w:t>
      </w:r>
      <w:r w:rsidR="0041681E">
        <w:t xml:space="preserve">and the person incriminated is a current or former </w:t>
      </w:r>
      <w:r w:rsidR="00E02564">
        <w:t xml:space="preserve">Tasmanian </w:t>
      </w:r>
      <w:r w:rsidR="0041681E">
        <w:t xml:space="preserve">State Service employee, then it may be in the public interest for the Reform Implementation Monitor to be able to </w:t>
      </w:r>
      <w:r w:rsidR="00E9725A">
        <w:t>investigate and respond to these concerns. I</w:t>
      </w:r>
      <w:r w:rsidR="00467F1A">
        <w:t>n the absence of a more comprehensive justification on why these exemptions are justified</w:t>
      </w:r>
      <w:r w:rsidR="00E02564">
        <w:t xml:space="preserve"> (</w:t>
      </w:r>
      <w:r w:rsidR="00C24A1B">
        <w:t>and noting there are no similar provisions in the legislation establishing similar bodies in other jurisdictions)</w:t>
      </w:r>
      <w:r w:rsidR="00F16EF3">
        <w:t>,</w:t>
      </w:r>
      <w:r w:rsidR="00C24A1B">
        <w:rPr>
          <w:rStyle w:val="FootnoteReference"/>
          <w:bCs/>
        </w:rPr>
        <w:footnoteReference w:id="10"/>
      </w:r>
      <w:r w:rsidR="00F16EF3">
        <w:t xml:space="preserve"> we would strongly recommend the removal of this </w:t>
      </w:r>
      <w:r w:rsidR="00E02564">
        <w:t>c</w:t>
      </w:r>
      <w:r w:rsidR="00F16EF3">
        <w:t xml:space="preserve">lause. </w:t>
      </w:r>
    </w:p>
    <w:p w14:paraId="092FC905" w14:textId="77777777" w:rsidR="00336F9B" w:rsidRDefault="00336F9B" w:rsidP="004800BE">
      <w:pPr>
        <w:pStyle w:val="TasCOSSBodyCopy"/>
      </w:pPr>
    </w:p>
    <w:p w14:paraId="27B1C1D2" w14:textId="30F60E73" w:rsidR="00B8376F" w:rsidRPr="00E02564" w:rsidRDefault="00B8376F" w:rsidP="004800BE">
      <w:pPr>
        <w:pStyle w:val="TasCOSSBodyCopy"/>
        <w:rPr>
          <w:b/>
          <w:bCs/>
          <w:i/>
          <w:iCs/>
        </w:rPr>
      </w:pPr>
      <w:r w:rsidRPr="00E02564">
        <w:rPr>
          <w:b/>
          <w:bCs/>
          <w:i/>
          <w:iCs/>
        </w:rPr>
        <w:lastRenderedPageBreak/>
        <w:t xml:space="preserve">Entry and </w:t>
      </w:r>
      <w:r w:rsidR="00E02564">
        <w:rPr>
          <w:b/>
          <w:bCs/>
          <w:i/>
          <w:iCs/>
        </w:rPr>
        <w:t>I</w:t>
      </w:r>
      <w:r w:rsidRPr="00E02564">
        <w:rPr>
          <w:b/>
          <w:bCs/>
          <w:i/>
          <w:iCs/>
        </w:rPr>
        <w:t>nspection</w:t>
      </w:r>
    </w:p>
    <w:p w14:paraId="4A8AFDC5" w14:textId="1D0BAC1F" w:rsidR="00FA7B99" w:rsidRDefault="00305553" w:rsidP="00A97DC3">
      <w:pPr>
        <w:pStyle w:val="TasCOSSBodyCopy"/>
        <w:jc w:val="both"/>
      </w:pPr>
      <w:r>
        <w:t xml:space="preserve">In relation to the powers of entry and inspection, we note the Draft Bill requires </w:t>
      </w:r>
      <w:r w:rsidR="00371C5F">
        <w:t xml:space="preserve">prior written notification to an Agency of the Reform Implementation Monitor’s intention to enter </w:t>
      </w:r>
      <w:r w:rsidR="00952B5A">
        <w:t>a relevant location to observe or request a demonstration/information.</w:t>
      </w:r>
      <w:r w:rsidR="00952B5A">
        <w:rPr>
          <w:rStyle w:val="FootnoteReference"/>
          <w:bCs/>
        </w:rPr>
        <w:footnoteReference w:id="11"/>
      </w:r>
      <w:r w:rsidR="00DB0F11">
        <w:t xml:space="preserve"> We note stakeholders have previously advocated for monitoring and oversight bodies to have the power to make unscheduled visits </w:t>
      </w:r>
      <w:r w:rsidR="00E02564" w:rsidRPr="00442254">
        <w:t>—</w:t>
      </w:r>
      <w:r w:rsidR="00DB0F11">
        <w:t xml:space="preserve"> </w:t>
      </w:r>
      <w:r w:rsidR="00DC0684">
        <w:t>for example, in the context</w:t>
      </w:r>
      <w:r w:rsidR="0098474B">
        <w:t xml:space="preserve"> of prison monitoring and oversight, the most recent </w:t>
      </w:r>
      <w:r w:rsidR="000445E5">
        <w:t xml:space="preserve">annual report </w:t>
      </w:r>
      <w:r w:rsidR="005E2B98">
        <w:t xml:space="preserve">from the </w:t>
      </w:r>
      <w:r w:rsidR="0098474B">
        <w:t xml:space="preserve">Custodial </w:t>
      </w:r>
      <w:r w:rsidR="005D49A1">
        <w:t>Inspector</w:t>
      </w:r>
      <w:r w:rsidR="005E2B98">
        <w:t xml:space="preserve"> highlighted the following: </w:t>
      </w:r>
    </w:p>
    <w:p w14:paraId="410C913B" w14:textId="77777777" w:rsidR="00E02564" w:rsidRDefault="00E02564" w:rsidP="00A97DC3">
      <w:pPr>
        <w:pStyle w:val="TasCOSSBodyCopy"/>
        <w:jc w:val="both"/>
      </w:pPr>
    </w:p>
    <w:p w14:paraId="28341DDE" w14:textId="44AEDCB1" w:rsidR="00FA7B99" w:rsidRPr="00E02564" w:rsidRDefault="005D49A1" w:rsidP="00A97DC3">
      <w:pPr>
        <w:pStyle w:val="TasCOSSBodyCopy"/>
        <w:ind w:left="284"/>
        <w:jc w:val="both"/>
        <w:rPr>
          <w:i/>
          <w:iCs/>
        </w:rPr>
      </w:pPr>
      <w:r w:rsidRPr="00E02564">
        <w:rPr>
          <w:i/>
          <w:iCs/>
        </w:rPr>
        <w:t xml:space="preserve">Unannounced visits are an important preventive tool to address risks relating to </w:t>
      </w:r>
      <w:r w:rsidR="00504CFB" w:rsidRPr="00E02564">
        <w:rPr>
          <w:i/>
          <w:iCs/>
        </w:rPr>
        <w:t>i</w:t>
      </w:r>
      <w:r w:rsidRPr="00E02564">
        <w:rPr>
          <w:i/>
          <w:iCs/>
        </w:rPr>
        <w:t>nhumane treatment</w:t>
      </w:r>
      <w:r w:rsidR="00404097" w:rsidRPr="00E02564">
        <w:rPr>
          <w:i/>
          <w:iCs/>
        </w:rPr>
        <w:t xml:space="preserve">. They are also </w:t>
      </w:r>
      <w:r w:rsidRPr="00E02564">
        <w:rPr>
          <w:i/>
          <w:iCs/>
        </w:rPr>
        <w:t>a key tool in ensuring compliance with Australia’s obligations under the Optional Protocol to the Convention against Torture and Other Cruel, Inhuman or Degrading Treatment or Punishment (OPCAT).</w:t>
      </w:r>
      <w:r w:rsidR="00023DD0" w:rsidRPr="00E02564">
        <w:rPr>
          <w:rStyle w:val="FootnoteReference"/>
          <w:i/>
          <w:iCs/>
        </w:rPr>
        <w:footnoteReference w:id="12"/>
      </w:r>
      <w:r w:rsidRPr="00E02564">
        <w:rPr>
          <w:i/>
          <w:iCs/>
        </w:rPr>
        <w:t xml:space="preserve"> </w:t>
      </w:r>
    </w:p>
    <w:p w14:paraId="7F2CC926" w14:textId="77777777" w:rsidR="00FA7B99" w:rsidRDefault="00FA7B99" w:rsidP="00A97DC3">
      <w:pPr>
        <w:pStyle w:val="TasCOSSBodyCopy"/>
        <w:jc w:val="both"/>
      </w:pPr>
    </w:p>
    <w:p w14:paraId="4BB50800" w14:textId="21CECB09" w:rsidR="00BF4B88" w:rsidRDefault="004D4740" w:rsidP="00A97DC3">
      <w:pPr>
        <w:pStyle w:val="TasCOSSBodyCopy"/>
        <w:jc w:val="both"/>
      </w:pPr>
      <w:r>
        <w:t>Although t</w:t>
      </w:r>
      <w:r w:rsidR="00BF4B88">
        <w:t xml:space="preserve">he context of the inspections or visits </w:t>
      </w:r>
      <w:r w:rsidR="004B78EE">
        <w:t xml:space="preserve">from the Reform Implementation Monitor will be different, </w:t>
      </w:r>
      <w:proofErr w:type="spellStart"/>
      <w:r w:rsidR="004B78EE">
        <w:t>TasCOSS</w:t>
      </w:r>
      <w:proofErr w:type="spellEnd"/>
      <w:r w:rsidR="004B78EE">
        <w:t xml:space="preserve"> believes it is still important for </w:t>
      </w:r>
      <w:r w:rsidR="00633AA9">
        <w:t xml:space="preserve">the legislation to allow for unannounced or unscheduled visits, to ensure </w:t>
      </w:r>
      <w:r w:rsidR="003D0945">
        <w:t>visits</w:t>
      </w:r>
      <w:r w:rsidR="00633AA9">
        <w:t xml:space="preserve"> </w:t>
      </w:r>
      <w:r w:rsidR="007D235D">
        <w:t xml:space="preserve">are </w:t>
      </w:r>
      <w:r>
        <w:t xml:space="preserve">opportunities to accurately observe the day-to-day functioning of particular agencies or entities. </w:t>
      </w:r>
    </w:p>
    <w:p w14:paraId="3A28F9BB" w14:textId="77777777" w:rsidR="009759BA" w:rsidRDefault="009759BA" w:rsidP="006D39BD">
      <w:pPr>
        <w:pStyle w:val="TasCOSSSubhead1"/>
      </w:pPr>
    </w:p>
    <w:p w14:paraId="11A4359A" w14:textId="18F36A39" w:rsidR="00816CC1" w:rsidRDefault="009759BA" w:rsidP="00E02564">
      <w:pPr>
        <w:pStyle w:val="TasCOSSGraphTitle"/>
        <w:ind w:left="0"/>
        <w:rPr>
          <w:sz w:val="24"/>
          <w:szCs w:val="24"/>
        </w:rPr>
      </w:pPr>
      <w:r w:rsidRPr="00A97DC3">
        <w:rPr>
          <w:sz w:val="24"/>
          <w:szCs w:val="24"/>
        </w:rPr>
        <w:t xml:space="preserve">Reporting </w:t>
      </w:r>
      <w:r w:rsidR="00E02564">
        <w:rPr>
          <w:sz w:val="24"/>
          <w:szCs w:val="24"/>
        </w:rPr>
        <w:t>R</w:t>
      </w:r>
      <w:r w:rsidRPr="00A97DC3">
        <w:rPr>
          <w:sz w:val="24"/>
          <w:szCs w:val="24"/>
        </w:rPr>
        <w:t xml:space="preserve">equirements </w:t>
      </w:r>
    </w:p>
    <w:p w14:paraId="77F65B39" w14:textId="77777777" w:rsidR="00E02564" w:rsidRPr="00E02564" w:rsidRDefault="00E02564" w:rsidP="00E02564">
      <w:pPr>
        <w:pStyle w:val="TasCOSSBodyCopy"/>
        <w:rPr>
          <w:lang w:val="en-US"/>
        </w:rPr>
      </w:pPr>
    </w:p>
    <w:p w14:paraId="213DC01B" w14:textId="14FBBF37" w:rsidR="003E0A0C" w:rsidRDefault="00816CC1" w:rsidP="00A97DC3">
      <w:pPr>
        <w:pStyle w:val="TasCOSSBodyCopy"/>
        <w:jc w:val="both"/>
      </w:pPr>
      <w:proofErr w:type="spellStart"/>
      <w:r>
        <w:t>TasCOSS</w:t>
      </w:r>
      <w:proofErr w:type="spellEnd"/>
      <w:r>
        <w:t xml:space="preserve"> strongly supports legislative provisions which strengthen reporting requirements</w:t>
      </w:r>
      <w:r w:rsidR="00E02564">
        <w:t>,</w:t>
      </w:r>
      <w:r>
        <w:t xml:space="preserve"> particularly in relation to publicly accessible information. </w:t>
      </w:r>
      <w:r w:rsidR="00794F93">
        <w:t xml:space="preserve">Alongside the reporting requirements outlined in the Draft Bill, we encourage the Government to consider ways of </w:t>
      </w:r>
      <w:r w:rsidR="00050F5B">
        <w:t>promoting public awareness of</w:t>
      </w:r>
      <w:r w:rsidR="00815B14">
        <w:t>,</w:t>
      </w:r>
      <w:r w:rsidR="00050F5B">
        <w:t xml:space="preserve"> and engagement with</w:t>
      </w:r>
      <w:r w:rsidR="00815B14">
        <w:t>,</w:t>
      </w:r>
      <w:r w:rsidR="00050F5B">
        <w:t xml:space="preserve"> the work of the Reform Implementation Monitor. </w:t>
      </w:r>
    </w:p>
    <w:p w14:paraId="1ED7B525" w14:textId="77777777" w:rsidR="008A0F26" w:rsidRDefault="008A0F26" w:rsidP="00A97DC3">
      <w:pPr>
        <w:pStyle w:val="TasCOSSBodyCopy"/>
        <w:jc w:val="both"/>
      </w:pPr>
    </w:p>
    <w:p w14:paraId="20A95D68" w14:textId="6B374FA3" w:rsidR="00F775A1" w:rsidRDefault="008A0F26" w:rsidP="00A97DC3">
      <w:pPr>
        <w:pStyle w:val="TasCOSSBodyCopy"/>
        <w:jc w:val="both"/>
      </w:pPr>
      <w:r>
        <w:t>Cl</w:t>
      </w:r>
      <w:r w:rsidR="00DF0B16">
        <w:t>ause 22 indicates there will be a separate website established for the work of the Reform Implementation Monitor</w:t>
      </w:r>
      <w:r w:rsidR="00E02564">
        <w:t>.</w:t>
      </w:r>
      <w:r w:rsidR="00964AF2">
        <w:rPr>
          <w:rStyle w:val="FootnoteReference"/>
        </w:rPr>
        <w:footnoteReference w:id="13"/>
      </w:r>
      <w:r w:rsidR="00DF0B16">
        <w:t xml:space="preserve"> </w:t>
      </w:r>
      <w:r w:rsidR="00E02564">
        <w:t>H</w:t>
      </w:r>
      <w:r w:rsidR="00DF0B16">
        <w:t xml:space="preserve">owever, we would strongly recommend all reports </w:t>
      </w:r>
      <w:r w:rsidR="0064749A">
        <w:t xml:space="preserve">are also published on </w:t>
      </w:r>
      <w:r w:rsidR="00BB2837">
        <w:t xml:space="preserve">a separate, centralised </w:t>
      </w:r>
      <w:r w:rsidR="00107C64">
        <w:t>online</w:t>
      </w:r>
      <w:r w:rsidR="0064749A">
        <w:t xml:space="preserve"> portal </w:t>
      </w:r>
      <w:r w:rsidR="00BB2837">
        <w:t>for the Government implementation of the Commission of Inquiry recommendations</w:t>
      </w:r>
      <w:r w:rsidR="00F775A1">
        <w:t xml:space="preserve"> </w:t>
      </w:r>
      <w:r w:rsidR="0064749A">
        <w:t>(</w:t>
      </w:r>
      <w:r w:rsidR="00F775A1">
        <w:t xml:space="preserve">this idea is explored further below). </w:t>
      </w:r>
    </w:p>
    <w:p w14:paraId="393DBAFE" w14:textId="77777777" w:rsidR="00F775A1" w:rsidRDefault="00F775A1" w:rsidP="004800BE">
      <w:pPr>
        <w:pStyle w:val="TasCOSSBodyCopy"/>
      </w:pPr>
    </w:p>
    <w:p w14:paraId="678F5F13" w14:textId="44C1FA5B" w:rsidR="00816CC1" w:rsidRDefault="00F775A1" w:rsidP="00A9740D">
      <w:pPr>
        <w:pStyle w:val="TasCOSSGraphTitle"/>
        <w:ind w:left="0"/>
        <w:rPr>
          <w:sz w:val="24"/>
          <w:szCs w:val="24"/>
        </w:rPr>
      </w:pPr>
      <w:r w:rsidRPr="00A97DC3">
        <w:rPr>
          <w:sz w:val="24"/>
          <w:szCs w:val="24"/>
        </w:rPr>
        <w:t xml:space="preserve">Community </w:t>
      </w:r>
      <w:r w:rsidR="00A9740D">
        <w:rPr>
          <w:sz w:val="24"/>
          <w:szCs w:val="24"/>
        </w:rPr>
        <w:t>A</w:t>
      </w:r>
      <w:r w:rsidRPr="00A97DC3">
        <w:rPr>
          <w:sz w:val="24"/>
          <w:szCs w:val="24"/>
        </w:rPr>
        <w:t xml:space="preserve">wareness and </w:t>
      </w:r>
      <w:r w:rsidR="00A9740D">
        <w:rPr>
          <w:sz w:val="24"/>
          <w:szCs w:val="24"/>
        </w:rPr>
        <w:t>E</w:t>
      </w:r>
      <w:r w:rsidRPr="00A97DC3">
        <w:rPr>
          <w:sz w:val="24"/>
          <w:szCs w:val="24"/>
        </w:rPr>
        <w:t xml:space="preserve">ducation </w:t>
      </w:r>
    </w:p>
    <w:p w14:paraId="7FF1881B" w14:textId="77777777" w:rsidR="00E02564" w:rsidRPr="00E02564" w:rsidRDefault="00E02564" w:rsidP="00E02564">
      <w:pPr>
        <w:pStyle w:val="TasCOSSBodyCopy"/>
        <w:rPr>
          <w:lang w:val="en-US"/>
        </w:rPr>
      </w:pPr>
    </w:p>
    <w:p w14:paraId="70256146" w14:textId="2A02434D" w:rsidR="009759BA" w:rsidRDefault="009759BA" w:rsidP="00A97DC3">
      <w:pPr>
        <w:pStyle w:val="TasCOSSBodyCopy"/>
        <w:jc w:val="both"/>
      </w:pPr>
      <w:r>
        <w:t xml:space="preserve">Alongside our recommendations above, we also note the importance of community education and awareness-raising for the effective functioning of the Reform Implementation Monitor. </w:t>
      </w:r>
      <w:r w:rsidR="00F775A1">
        <w:t>We believe the Government should</w:t>
      </w:r>
      <w:r w:rsidR="006F1F50">
        <w:t xml:space="preserve"> look at ways to increase public engagement in the implementation project, both to raise awareness in the community around issues relating to child safety and wellbeing, but also to ensure </w:t>
      </w:r>
      <w:r w:rsidR="00642113">
        <w:t xml:space="preserve">greater transparency and accountability in relation to the Government’s implementation project and reform agenda. </w:t>
      </w:r>
    </w:p>
    <w:p w14:paraId="35C6B16F" w14:textId="77777777" w:rsidR="00642113" w:rsidRDefault="00642113" w:rsidP="004800BE">
      <w:pPr>
        <w:pStyle w:val="TasCOSSBodyCopy"/>
      </w:pPr>
    </w:p>
    <w:p w14:paraId="1804353D" w14:textId="6687A35A" w:rsidR="00642113" w:rsidRDefault="00642113" w:rsidP="00A97DC3">
      <w:pPr>
        <w:pStyle w:val="TasCOSSBodyCopy"/>
        <w:jc w:val="both"/>
      </w:pPr>
      <w:r>
        <w:lastRenderedPageBreak/>
        <w:t xml:space="preserve">One way to promote public engagement with this work is the development and maintenance of </w:t>
      </w:r>
      <w:r w:rsidRPr="006A6D1E">
        <w:t>a</w:t>
      </w:r>
      <w:r>
        <w:t xml:space="preserve"> centralised </w:t>
      </w:r>
      <w:r w:rsidRPr="006A6D1E">
        <w:t xml:space="preserve">online portal where community organisations and individuals can access up-to-date information about </w:t>
      </w:r>
      <w:r>
        <w:t xml:space="preserve">the implementation and reform process. The portal could contain the following: </w:t>
      </w:r>
    </w:p>
    <w:p w14:paraId="77ABDCB6" w14:textId="77777777" w:rsidR="00E02564" w:rsidRDefault="00E02564" w:rsidP="00A97DC3">
      <w:pPr>
        <w:pStyle w:val="TasCOSSBodyCopy"/>
        <w:jc w:val="both"/>
      </w:pPr>
    </w:p>
    <w:p w14:paraId="35D983EF" w14:textId="77777777" w:rsidR="00642113" w:rsidRPr="006A6D1E" w:rsidRDefault="00642113" w:rsidP="00A97DC3">
      <w:pPr>
        <w:pStyle w:val="TasCOSSBodyCopy"/>
        <w:numPr>
          <w:ilvl w:val="0"/>
          <w:numId w:val="14"/>
        </w:numPr>
        <w:jc w:val="both"/>
      </w:pPr>
      <w:r w:rsidRPr="006A6D1E">
        <w:t xml:space="preserve">A document library with copies of </w:t>
      </w:r>
      <w:r>
        <w:t xml:space="preserve">relevant </w:t>
      </w:r>
      <w:r w:rsidRPr="006A6D1E">
        <w:t xml:space="preserve">research </w:t>
      </w:r>
      <w:r>
        <w:t xml:space="preserve">(such as journal articles or research papers), </w:t>
      </w:r>
      <w:r w:rsidRPr="006A6D1E">
        <w:t xml:space="preserve">frameworks and recommendations from </w:t>
      </w:r>
      <w:r>
        <w:t xml:space="preserve">other </w:t>
      </w:r>
      <w:r w:rsidRPr="006A6D1E">
        <w:t>inquiries</w:t>
      </w:r>
      <w:r>
        <w:t xml:space="preserve">; </w:t>
      </w:r>
      <w:r w:rsidRPr="006A6D1E">
        <w:t xml:space="preserve"> </w:t>
      </w:r>
    </w:p>
    <w:p w14:paraId="74A734C6" w14:textId="77777777" w:rsidR="00642113" w:rsidRPr="006A6D1E" w:rsidRDefault="00642113" w:rsidP="00A97DC3">
      <w:pPr>
        <w:pStyle w:val="TasCOSSBodyCopy"/>
        <w:numPr>
          <w:ilvl w:val="0"/>
          <w:numId w:val="14"/>
        </w:numPr>
        <w:jc w:val="both"/>
      </w:pPr>
      <w:r w:rsidRPr="006A6D1E">
        <w:t>A timeline of proposed reforms and public consultations</w:t>
      </w:r>
      <w:r>
        <w:t xml:space="preserve">; </w:t>
      </w:r>
      <w:r w:rsidRPr="006A6D1E">
        <w:t xml:space="preserve"> </w:t>
      </w:r>
    </w:p>
    <w:p w14:paraId="4DA07EAC" w14:textId="6BE6C066" w:rsidR="00642113" w:rsidRPr="006A6D1E" w:rsidRDefault="00642113" w:rsidP="00A97DC3">
      <w:pPr>
        <w:pStyle w:val="TasCOSSBodyCopy"/>
        <w:numPr>
          <w:ilvl w:val="0"/>
          <w:numId w:val="14"/>
        </w:numPr>
        <w:jc w:val="both"/>
      </w:pPr>
      <w:r w:rsidRPr="006A6D1E">
        <w:t xml:space="preserve">Streamlined access to community consultation opportunities across </w:t>
      </w:r>
      <w:r w:rsidR="00526B40">
        <w:t>Tasmanian Government d</w:t>
      </w:r>
      <w:r w:rsidRPr="006A6D1E">
        <w:t xml:space="preserve">epartments relevant to the Commission of Inquiry; </w:t>
      </w:r>
      <w:r>
        <w:t xml:space="preserve">and </w:t>
      </w:r>
    </w:p>
    <w:p w14:paraId="2128784F" w14:textId="77777777" w:rsidR="00642113" w:rsidRDefault="00642113" w:rsidP="00A97DC3">
      <w:pPr>
        <w:pStyle w:val="TasCOSSBodyCopy"/>
        <w:numPr>
          <w:ilvl w:val="0"/>
          <w:numId w:val="14"/>
        </w:numPr>
        <w:jc w:val="both"/>
      </w:pPr>
      <w:r w:rsidRPr="006A6D1E">
        <w:t>Information about public forums, events and other engagement opportunities</w:t>
      </w:r>
      <w:r>
        <w:t>.</w:t>
      </w:r>
    </w:p>
    <w:p w14:paraId="6F071F1F" w14:textId="77777777" w:rsidR="00E02564" w:rsidRDefault="00E02564" w:rsidP="00E02564">
      <w:pPr>
        <w:pStyle w:val="TasCOSSBodyCopy"/>
        <w:ind w:left="720"/>
        <w:jc w:val="both"/>
      </w:pPr>
    </w:p>
    <w:p w14:paraId="7C92F01E" w14:textId="09111203" w:rsidR="00196BE6" w:rsidRPr="00196BE6" w:rsidRDefault="006931D9" w:rsidP="00A97DC3">
      <w:pPr>
        <w:pStyle w:val="ListParagraph"/>
        <w:spacing w:line="278" w:lineRule="auto"/>
        <w:ind w:left="0"/>
        <w:jc w:val="both"/>
        <w:rPr>
          <w:rFonts w:ascii="Calibri" w:hAnsi="Calibri" w:cs="Calibri"/>
          <w:lang w:val="en-US"/>
        </w:rPr>
      </w:pPr>
      <w:r>
        <w:t xml:space="preserve">We recommend the Government consider examples from other jurisdictions </w:t>
      </w:r>
      <w:r w:rsidR="00E02564" w:rsidRPr="00442254">
        <w:t>—</w:t>
      </w:r>
      <w:r w:rsidR="00196BE6">
        <w:t xml:space="preserve"> for example, </w:t>
      </w:r>
      <w:r w:rsidR="00196BE6" w:rsidRPr="00196BE6">
        <w:rPr>
          <w:rFonts w:ascii="Calibri" w:hAnsi="Calibri" w:cs="Calibri"/>
          <w:lang w:val="en-US"/>
        </w:rPr>
        <w:t xml:space="preserve"> the </w:t>
      </w:r>
      <w:hyperlink r:id="rId15" w:history="1">
        <w:r w:rsidR="00196BE6" w:rsidRPr="00196BE6">
          <w:rPr>
            <w:rStyle w:val="Hyperlink"/>
            <w:rFonts w:ascii="Calibri" w:hAnsi="Calibri" w:cs="Calibri"/>
            <w:lang w:val="en-US"/>
          </w:rPr>
          <w:t>Open Government website</w:t>
        </w:r>
      </w:hyperlink>
      <w:r w:rsidR="00196BE6" w:rsidRPr="00196BE6">
        <w:rPr>
          <w:rFonts w:ascii="Calibri" w:hAnsi="Calibri" w:cs="Calibri"/>
          <w:lang w:val="en-US"/>
        </w:rPr>
        <w:t xml:space="preserve"> (from the </w:t>
      </w:r>
      <w:r w:rsidR="00E02564">
        <w:rPr>
          <w:rFonts w:ascii="Calibri" w:hAnsi="Calibri" w:cs="Calibri"/>
          <w:lang w:val="en-US"/>
        </w:rPr>
        <w:t>Australian Capital Territory</w:t>
      </w:r>
      <w:r w:rsidR="00196BE6" w:rsidRPr="00196BE6">
        <w:rPr>
          <w:rFonts w:ascii="Calibri" w:hAnsi="Calibri" w:cs="Calibri"/>
          <w:lang w:val="en-US"/>
        </w:rPr>
        <w:t xml:space="preserve">), or the South Australian </w:t>
      </w:r>
      <w:hyperlink r:id="rId16" w:history="1">
        <w:proofErr w:type="spellStart"/>
        <w:r w:rsidR="00196BE6" w:rsidRPr="00196BE6">
          <w:rPr>
            <w:rStyle w:val="Hyperlink"/>
            <w:rFonts w:ascii="Calibri" w:hAnsi="Calibri" w:cs="Calibri"/>
            <w:lang w:val="en-US"/>
          </w:rPr>
          <w:t>YourS</w:t>
        </w:r>
        <w:r w:rsidR="00E02564">
          <w:rPr>
            <w:rStyle w:val="Hyperlink"/>
            <w:rFonts w:ascii="Calibri" w:hAnsi="Calibri" w:cs="Calibri"/>
            <w:lang w:val="en-US"/>
          </w:rPr>
          <w:t>A</w:t>
        </w:r>
        <w:r w:rsidR="00196BE6" w:rsidRPr="00196BE6">
          <w:rPr>
            <w:rStyle w:val="Hyperlink"/>
            <w:rFonts w:ascii="Calibri" w:hAnsi="Calibri" w:cs="Calibri"/>
            <w:lang w:val="en-US"/>
          </w:rPr>
          <w:t>y</w:t>
        </w:r>
        <w:proofErr w:type="spellEnd"/>
        <w:r w:rsidR="00196BE6" w:rsidRPr="00196BE6">
          <w:rPr>
            <w:rStyle w:val="Hyperlink"/>
            <w:rFonts w:ascii="Calibri" w:hAnsi="Calibri" w:cs="Calibri"/>
            <w:lang w:val="en-US"/>
          </w:rPr>
          <w:t xml:space="preserve"> website</w:t>
        </w:r>
      </w:hyperlink>
      <w:r w:rsidR="006F3B42">
        <w:rPr>
          <w:rStyle w:val="Hyperlink"/>
          <w:rFonts w:ascii="Calibri" w:hAnsi="Calibri" w:cs="Calibri"/>
          <w:lang w:val="en-US"/>
        </w:rPr>
        <w:t xml:space="preserve">. </w:t>
      </w:r>
    </w:p>
    <w:p w14:paraId="7EF88552" w14:textId="0F20CCDE" w:rsidR="00E02564" w:rsidRDefault="00E02564" w:rsidP="00E02564">
      <w:pPr>
        <w:pStyle w:val="TasCOSSGraphTitle"/>
        <w:ind w:left="0"/>
        <w:rPr>
          <w:sz w:val="24"/>
          <w:szCs w:val="24"/>
        </w:rPr>
      </w:pPr>
      <w:r w:rsidRPr="00E02564">
        <w:rPr>
          <w:sz w:val="24"/>
          <w:szCs w:val="24"/>
        </w:rPr>
        <w:t xml:space="preserve">Consistency with </w:t>
      </w:r>
      <w:r>
        <w:rPr>
          <w:sz w:val="24"/>
          <w:szCs w:val="24"/>
        </w:rPr>
        <w:t>O</w:t>
      </w:r>
      <w:r w:rsidRPr="00E02564">
        <w:rPr>
          <w:sz w:val="24"/>
          <w:szCs w:val="24"/>
        </w:rPr>
        <w:t xml:space="preserve">verarching </w:t>
      </w:r>
      <w:r>
        <w:rPr>
          <w:sz w:val="24"/>
          <w:szCs w:val="24"/>
        </w:rPr>
        <w:t>P</w:t>
      </w:r>
      <w:r w:rsidRPr="00E02564">
        <w:rPr>
          <w:sz w:val="24"/>
          <w:szCs w:val="24"/>
        </w:rPr>
        <w:t xml:space="preserve">rinciples and </w:t>
      </w:r>
      <w:r>
        <w:rPr>
          <w:sz w:val="24"/>
          <w:szCs w:val="24"/>
        </w:rPr>
        <w:t>O</w:t>
      </w:r>
      <w:r w:rsidRPr="00E02564">
        <w:rPr>
          <w:sz w:val="24"/>
          <w:szCs w:val="24"/>
        </w:rPr>
        <w:t xml:space="preserve">bjectives of </w:t>
      </w:r>
      <w:r>
        <w:rPr>
          <w:sz w:val="24"/>
          <w:szCs w:val="24"/>
        </w:rPr>
        <w:t>R</w:t>
      </w:r>
      <w:r w:rsidRPr="00E02564">
        <w:rPr>
          <w:sz w:val="24"/>
          <w:szCs w:val="24"/>
        </w:rPr>
        <w:t>eform</w:t>
      </w:r>
    </w:p>
    <w:p w14:paraId="06CAB9D5" w14:textId="25476C12" w:rsidR="00BB4443" w:rsidRDefault="000E6D92" w:rsidP="00A97DC3">
      <w:pPr>
        <w:pStyle w:val="TasCOSSBodyCopy"/>
        <w:jc w:val="both"/>
        <w:rPr>
          <w:lang w:val="en-US"/>
        </w:rPr>
      </w:pPr>
      <w:r>
        <w:rPr>
          <w:lang w:val="en-US"/>
        </w:rPr>
        <w:t xml:space="preserve">In our view, the Reform Implementation Monitor will be most effective if the role is also </w:t>
      </w:r>
      <w:proofErr w:type="spellStart"/>
      <w:r>
        <w:rPr>
          <w:lang w:val="en-US"/>
        </w:rPr>
        <w:t>utilised</w:t>
      </w:r>
      <w:proofErr w:type="spellEnd"/>
      <w:r>
        <w:rPr>
          <w:lang w:val="en-US"/>
        </w:rPr>
        <w:t xml:space="preserve"> to ensure Government reform is aligned with the broader objectives and principles </w:t>
      </w:r>
      <w:r w:rsidR="003C2112">
        <w:rPr>
          <w:lang w:val="en-US"/>
        </w:rPr>
        <w:t xml:space="preserve">of the Government’s reform project. Rather than simply creating an entity </w:t>
      </w:r>
      <w:r w:rsidR="00BB4443">
        <w:rPr>
          <w:lang w:val="en-US"/>
        </w:rPr>
        <w:t xml:space="preserve">to </w:t>
      </w:r>
      <w:r w:rsidR="003C2112">
        <w:rPr>
          <w:lang w:val="en-US"/>
        </w:rPr>
        <w:t>engage in a ‘box ticking’ exercise</w:t>
      </w:r>
      <w:r w:rsidR="00DC522E">
        <w:rPr>
          <w:lang w:val="en-US"/>
        </w:rPr>
        <w:t xml:space="preserve"> </w:t>
      </w:r>
      <w:r w:rsidR="00BB4443">
        <w:rPr>
          <w:lang w:val="en-US"/>
        </w:rPr>
        <w:t xml:space="preserve">in monitoring and reporting on reform, </w:t>
      </w:r>
      <w:proofErr w:type="spellStart"/>
      <w:r w:rsidR="00BB4443">
        <w:rPr>
          <w:lang w:val="en-US"/>
        </w:rPr>
        <w:t>TasCOSS</w:t>
      </w:r>
      <w:proofErr w:type="spellEnd"/>
      <w:r w:rsidR="00BB4443">
        <w:rPr>
          <w:lang w:val="en-US"/>
        </w:rPr>
        <w:t xml:space="preserve"> strongly supports the implementation of a mechanism by which the Reform Implementation Monitor can continue to assess Government action (or inaction) against the objectives underlying the Commission of Inquiry and the implementation project. </w:t>
      </w:r>
    </w:p>
    <w:p w14:paraId="4CBBC393" w14:textId="77777777" w:rsidR="00BB4443" w:rsidRDefault="00BB4443" w:rsidP="00A97DC3">
      <w:pPr>
        <w:pStyle w:val="TasCOSSBodyCopy"/>
        <w:jc w:val="both"/>
        <w:rPr>
          <w:lang w:val="en-US"/>
        </w:rPr>
      </w:pPr>
    </w:p>
    <w:p w14:paraId="7DD0481C" w14:textId="77F55F31" w:rsidR="00BB4443" w:rsidRDefault="00BB4443" w:rsidP="00A97DC3">
      <w:pPr>
        <w:pStyle w:val="TasCOSSBodyCopy"/>
        <w:jc w:val="both"/>
        <w:rPr>
          <w:lang w:val="en-US"/>
        </w:rPr>
      </w:pPr>
      <w:r>
        <w:rPr>
          <w:lang w:val="en-US"/>
        </w:rPr>
        <w:t xml:space="preserve">We would recommend the </w:t>
      </w:r>
      <w:r w:rsidR="007E3FE0">
        <w:rPr>
          <w:lang w:val="en-US"/>
        </w:rPr>
        <w:t xml:space="preserve">Bill include a list of principles </w:t>
      </w:r>
      <w:r w:rsidR="001539CB">
        <w:rPr>
          <w:lang w:val="en-US"/>
        </w:rPr>
        <w:t xml:space="preserve">or objectives underpinning the </w:t>
      </w:r>
      <w:r w:rsidR="0094083F">
        <w:rPr>
          <w:lang w:val="en-US"/>
        </w:rPr>
        <w:t xml:space="preserve">reform project, which could then be used by the Reform Implementation Monitor to assess and report on how Government is performing. </w:t>
      </w:r>
      <w:r w:rsidR="00BC3E16">
        <w:rPr>
          <w:lang w:val="en-US"/>
        </w:rPr>
        <w:t>The list of principles could operate as a ‘statement of compatibility</w:t>
      </w:r>
      <w:r w:rsidR="00526B40">
        <w:rPr>
          <w:lang w:val="en-US"/>
        </w:rPr>
        <w:t>,</w:t>
      </w:r>
      <w:r w:rsidR="00BC3E16">
        <w:rPr>
          <w:lang w:val="en-US"/>
        </w:rPr>
        <w:t>’</w:t>
      </w:r>
      <w:r w:rsidR="00BC3E16">
        <w:rPr>
          <w:rStyle w:val="FootnoteReference"/>
          <w:lang w:val="en-US"/>
        </w:rPr>
        <w:footnoteReference w:id="14"/>
      </w:r>
      <w:r w:rsidR="00C56682">
        <w:rPr>
          <w:lang w:val="en-US"/>
        </w:rPr>
        <w:t xml:space="preserve"> ensuring that all policy and legislative change remains consistent with the stated objectives </w:t>
      </w:r>
      <w:r w:rsidR="00044461">
        <w:rPr>
          <w:lang w:val="en-US"/>
        </w:rPr>
        <w:t xml:space="preserve">of the reform project. </w:t>
      </w:r>
    </w:p>
    <w:p w14:paraId="428310D9" w14:textId="77777777" w:rsidR="00044461" w:rsidRDefault="00044461" w:rsidP="00A97DC3">
      <w:pPr>
        <w:pStyle w:val="TasCOSSBodyCopy"/>
        <w:jc w:val="both"/>
        <w:rPr>
          <w:lang w:val="en-US"/>
        </w:rPr>
      </w:pPr>
    </w:p>
    <w:p w14:paraId="22C608BA" w14:textId="2F04D4A2" w:rsidR="00044461" w:rsidRDefault="00044461" w:rsidP="00A97DC3">
      <w:pPr>
        <w:pStyle w:val="TasCOSSBodyCopy"/>
        <w:jc w:val="both"/>
        <w:rPr>
          <w:lang w:val="en-US"/>
        </w:rPr>
      </w:pPr>
      <w:r>
        <w:rPr>
          <w:lang w:val="en-US"/>
        </w:rPr>
        <w:t xml:space="preserve">This list of principles should be developed in consultation with community members and </w:t>
      </w:r>
      <w:proofErr w:type="spellStart"/>
      <w:r>
        <w:rPr>
          <w:lang w:val="en-US"/>
        </w:rPr>
        <w:t>organisations</w:t>
      </w:r>
      <w:proofErr w:type="spellEnd"/>
      <w:r>
        <w:rPr>
          <w:lang w:val="en-US"/>
        </w:rPr>
        <w:t>, including victim survivors of child sexual abuse</w:t>
      </w:r>
      <w:r w:rsidR="00347B86">
        <w:rPr>
          <w:lang w:val="en-US"/>
        </w:rPr>
        <w:t xml:space="preserve">, and the assessments of proposed legislative and other reforms should be publicly available.  </w:t>
      </w:r>
    </w:p>
    <w:p w14:paraId="226EB506" w14:textId="77777777" w:rsidR="00BB4443" w:rsidRDefault="00BB4443" w:rsidP="004800BE">
      <w:pPr>
        <w:pStyle w:val="TasCOSSBodyCopy"/>
        <w:rPr>
          <w:lang w:val="en-US"/>
        </w:rPr>
      </w:pPr>
    </w:p>
    <w:p w14:paraId="3D734ACA" w14:textId="77777777" w:rsidR="00442254" w:rsidRDefault="00442254" w:rsidP="004800BE">
      <w:pPr>
        <w:pStyle w:val="TasCOSSBodyCopy"/>
        <w:rPr>
          <w:lang w:val="en-US"/>
        </w:rPr>
      </w:pPr>
    </w:p>
    <w:p w14:paraId="7435D13A" w14:textId="77777777" w:rsidR="00442254" w:rsidRDefault="00442254" w:rsidP="004800BE">
      <w:pPr>
        <w:pStyle w:val="TasCOSSBodyCopy"/>
        <w:rPr>
          <w:lang w:val="en-US"/>
        </w:rPr>
      </w:pPr>
    </w:p>
    <w:p w14:paraId="1411867E" w14:textId="77777777" w:rsidR="00442254" w:rsidRDefault="00442254" w:rsidP="004800BE">
      <w:pPr>
        <w:pStyle w:val="TasCOSSBodyCopy"/>
        <w:rPr>
          <w:lang w:val="en-US"/>
        </w:rPr>
      </w:pPr>
    </w:p>
    <w:p w14:paraId="508069E1" w14:textId="77777777" w:rsidR="00442254" w:rsidRDefault="00442254" w:rsidP="004800BE">
      <w:pPr>
        <w:pStyle w:val="TasCOSSBodyCopy"/>
        <w:rPr>
          <w:lang w:val="en-US"/>
        </w:rPr>
      </w:pPr>
    </w:p>
    <w:p w14:paraId="3F6C4C1C" w14:textId="77777777" w:rsidR="00442254" w:rsidRDefault="00442254" w:rsidP="004800BE">
      <w:pPr>
        <w:pStyle w:val="TasCOSSBodyCopy"/>
        <w:rPr>
          <w:lang w:val="en-US"/>
        </w:rPr>
      </w:pPr>
    </w:p>
    <w:p w14:paraId="69D467A9" w14:textId="77777777" w:rsidR="00442254" w:rsidRDefault="00442254" w:rsidP="004800BE">
      <w:pPr>
        <w:pStyle w:val="TasCOSSBodyCopy"/>
        <w:rPr>
          <w:lang w:val="en-US"/>
        </w:rPr>
      </w:pPr>
    </w:p>
    <w:p w14:paraId="655AB17B" w14:textId="77777777" w:rsidR="00442254" w:rsidRDefault="00442254" w:rsidP="004800BE">
      <w:pPr>
        <w:pStyle w:val="TasCOSSBodyCopy"/>
        <w:rPr>
          <w:lang w:val="en-US"/>
        </w:rPr>
      </w:pPr>
    </w:p>
    <w:p w14:paraId="087382EF" w14:textId="77777777" w:rsidR="00E02564" w:rsidRDefault="00E02564" w:rsidP="00E02564">
      <w:pPr>
        <w:pStyle w:val="TasCOSSGraphTitle"/>
        <w:ind w:left="0"/>
      </w:pPr>
    </w:p>
    <w:p w14:paraId="33092E9A" w14:textId="0E1CF86F" w:rsidR="00104AB8" w:rsidRDefault="00104AB8" w:rsidP="00E02564">
      <w:pPr>
        <w:pStyle w:val="TasCOSSGraphTitle"/>
        <w:ind w:left="0"/>
      </w:pPr>
      <w:r>
        <w:lastRenderedPageBreak/>
        <w:t>Recommendations</w:t>
      </w:r>
    </w:p>
    <w:p w14:paraId="1CABDAC5" w14:textId="77777777" w:rsidR="00442254" w:rsidRPr="00442254" w:rsidRDefault="00442254" w:rsidP="00442254">
      <w:pPr>
        <w:pStyle w:val="TasCOSSBodyCopy"/>
        <w:rPr>
          <w:lang w:val="en-US"/>
        </w:rPr>
      </w:pPr>
    </w:p>
    <w:p w14:paraId="5B35988B" w14:textId="77777777" w:rsidR="00442254" w:rsidRDefault="008D1321" w:rsidP="00442254">
      <w:pPr>
        <w:pStyle w:val="TasCOSSBodyCopy"/>
        <w:numPr>
          <w:ilvl w:val="0"/>
          <w:numId w:val="24"/>
        </w:numPr>
      </w:pPr>
      <w:r>
        <w:t>The Bill should include a separate provision clearly stating the independence of the Reform Implementation Monitor from Government</w:t>
      </w:r>
      <w:r w:rsidR="00442254">
        <w:t>.</w:t>
      </w:r>
    </w:p>
    <w:p w14:paraId="4E4BF401" w14:textId="77777777" w:rsidR="00442254" w:rsidRDefault="00B45B6A" w:rsidP="00442254">
      <w:pPr>
        <w:pStyle w:val="TasCOSSBodyCopy"/>
        <w:numPr>
          <w:ilvl w:val="0"/>
          <w:numId w:val="24"/>
        </w:numPr>
      </w:pPr>
      <w:r>
        <w:t xml:space="preserve">The </w:t>
      </w:r>
      <w:r w:rsidR="008D1321">
        <w:t>Reform Implementation Monitor should be staffed and resourced in a manner which promotes and maintains independence from Government</w:t>
      </w:r>
      <w:r w:rsidR="00442254">
        <w:t>.</w:t>
      </w:r>
    </w:p>
    <w:p w14:paraId="3599CD5E" w14:textId="528F633F" w:rsidR="00442254" w:rsidRDefault="008D1321" w:rsidP="00442254">
      <w:pPr>
        <w:pStyle w:val="TasCOSSBodyCopy"/>
        <w:numPr>
          <w:ilvl w:val="0"/>
          <w:numId w:val="24"/>
        </w:numPr>
      </w:pPr>
      <w:r>
        <w:t xml:space="preserve">The objectives should be broadened to ensure the Reform Implementation Monitor can consider the effectiveness of reforms in the </w:t>
      </w:r>
      <w:r w:rsidRPr="008D1321">
        <w:t xml:space="preserve">prevention, identification and responses to child sexual abuse across the </w:t>
      </w:r>
      <w:r w:rsidR="00526B40">
        <w:t>s</w:t>
      </w:r>
      <w:r w:rsidRPr="008D1321">
        <w:t>tate</w:t>
      </w:r>
      <w:r w:rsidR="00526B40">
        <w:t xml:space="preserve">, </w:t>
      </w:r>
      <w:r>
        <w:t>not just institutional abuse</w:t>
      </w:r>
      <w:r w:rsidR="00442254">
        <w:t>.</w:t>
      </w:r>
    </w:p>
    <w:p w14:paraId="36F13F6E" w14:textId="77777777" w:rsidR="00442254" w:rsidRDefault="008D1321" w:rsidP="00442254">
      <w:pPr>
        <w:pStyle w:val="TasCOSSBodyCopy"/>
        <w:numPr>
          <w:ilvl w:val="0"/>
          <w:numId w:val="24"/>
        </w:numPr>
      </w:pPr>
      <w:r>
        <w:t>T</w:t>
      </w:r>
      <w:r w:rsidRPr="008D1321">
        <w:t xml:space="preserve">he Reform Implementation Monitor should </w:t>
      </w:r>
      <w:r>
        <w:t>be able t</w:t>
      </w:r>
      <w:r w:rsidRPr="008D1321">
        <w:t>o monitor the implementation of all recommendations from the National Royal Commission</w:t>
      </w:r>
      <w:r w:rsidR="00442254">
        <w:t>.</w:t>
      </w:r>
    </w:p>
    <w:p w14:paraId="4A05E2C9" w14:textId="565D7779" w:rsidR="00442254" w:rsidRDefault="00E071B9" w:rsidP="00442254">
      <w:pPr>
        <w:pStyle w:val="TasCOSSBodyCopy"/>
        <w:numPr>
          <w:ilvl w:val="0"/>
          <w:numId w:val="24"/>
        </w:numPr>
      </w:pPr>
      <w:r>
        <w:t xml:space="preserve">More information should be provided to explain the intention of Clause 14 in relation to proposed exemptions </w:t>
      </w:r>
      <w:r w:rsidR="00D55093">
        <w:t xml:space="preserve">on information to be requested by the Reform Implementation Monitor </w:t>
      </w:r>
      <w:r w:rsidR="00526B40" w:rsidRPr="00526B40">
        <w:t>—</w:t>
      </w:r>
      <w:r w:rsidR="00D55093">
        <w:t xml:space="preserve"> in the absence of further information, this </w:t>
      </w:r>
      <w:r w:rsidR="00E02564">
        <w:t>c</w:t>
      </w:r>
      <w:r w:rsidR="00D55093">
        <w:t>lause should be removed</w:t>
      </w:r>
      <w:r w:rsidR="00442254">
        <w:t>.</w:t>
      </w:r>
    </w:p>
    <w:p w14:paraId="3BAD0367" w14:textId="7BF20E4E" w:rsidR="00442254" w:rsidRDefault="0080523A" w:rsidP="00442254">
      <w:pPr>
        <w:pStyle w:val="TasCOSSBodyCopy"/>
        <w:numPr>
          <w:ilvl w:val="0"/>
          <w:numId w:val="24"/>
        </w:numPr>
      </w:pPr>
      <w:r>
        <w:t>The legislation should allow for the Reform Implementation Monitor to engage in unannounced or unscheduled visits</w:t>
      </w:r>
      <w:r w:rsidR="00526B40">
        <w:t>.</w:t>
      </w:r>
    </w:p>
    <w:p w14:paraId="1855CF11" w14:textId="71B07854" w:rsidR="00442254" w:rsidRDefault="007A09C0" w:rsidP="00442254">
      <w:pPr>
        <w:pStyle w:val="TasCOSSBodyCopy"/>
        <w:numPr>
          <w:ilvl w:val="0"/>
          <w:numId w:val="24"/>
        </w:numPr>
      </w:pPr>
      <w:r>
        <w:t>The Government should develop a separate, specific web</w:t>
      </w:r>
      <w:r w:rsidR="00526B40">
        <w:t xml:space="preserve">site </w:t>
      </w:r>
      <w:r>
        <w:t xml:space="preserve">for their work implementing the Commission of Inquiry recommendations, with detailed information about timeframes for reform, </w:t>
      </w:r>
      <w:r w:rsidR="00B54A6A">
        <w:t xml:space="preserve">consultation, </w:t>
      </w:r>
      <w:r>
        <w:t xml:space="preserve">reports </w:t>
      </w:r>
      <w:r w:rsidR="00B54A6A">
        <w:t>and other relevant materials</w:t>
      </w:r>
      <w:r w:rsidR="00A97DC3">
        <w:t xml:space="preserve"> </w:t>
      </w:r>
      <w:r w:rsidR="00526B40">
        <w:t>(</w:t>
      </w:r>
      <w:r w:rsidR="00A97DC3">
        <w:t>r</w:t>
      </w:r>
      <w:r w:rsidR="00B54A6A">
        <w:t>eports fr</w:t>
      </w:r>
      <w:r>
        <w:t xml:space="preserve">om the Reform Implementation Monitor should be available and promoted </w:t>
      </w:r>
      <w:r w:rsidR="00B54A6A">
        <w:t>on this website</w:t>
      </w:r>
      <w:r w:rsidR="00526B40">
        <w:t>).</w:t>
      </w:r>
      <w:r w:rsidR="00A97DC3">
        <w:t xml:space="preserve"> </w:t>
      </w:r>
    </w:p>
    <w:p w14:paraId="33092E9B" w14:textId="659B77F5" w:rsidR="002E120E" w:rsidRPr="006E64F4" w:rsidRDefault="007A09C0" w:rsidP="00442254">
      <w:pPr>
        <w:pStyle w:val="TasCOSSBodyCopy"/>
        <w:numPr>
          <w:ilvl w:val="0"/>
          <w:numId w:val="24"/>
        </w:numPr>
      </w:pPr>
      <w:r>
        <w:t xml:space="preserve">The </w:t>
      </w:r>
      <w:r w:rsidR="001D13F1">
        <w:t>Bill should include a set of principles which will be used by the Reform Implementation Monitor in reviewing and assessing proposed reform</w:t>
      </w:r>
      <w:r w:rsidR="00E81E2B">
        <w:t xml:space="preserve">s, and these assessments should be publicly available. </w:t>
      </w:r>
    </w:p>
    <w:sectPr w:rsidR="002E120E" w:rsidRPr="006E64F4" w:rsidSect="002F6E96">
      <w:headerReference w:type="default" r:id="rId17"/>
      <w:headerReference w:type="first" r:id="rId18"/>
      <w:footerReference w:type="first" r:id="rId19"/>
      <w:pgSz w:w="11900" w:h="16840"/>
      <w:pgMar w:top="2268"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EDAE" w14:textId="77777777" w:rsidR="002F6E96" w:rsidRDefault="002F6E96" w:rsidP="00967EB8">
      <w:r>
        <w:separator/>
      </w:r>
    </w:p>
  </w:endnote>
  <w:endnote w:type="continuationSeparator" w:id="0">
    <w:p w14:paraId="31C1E0B2" w14:textId="77777777" w:rsidR="002F6E96" w:rsidRDefault="002F6E96" w:rsidP="00967EB8">
      <w:r>
        <w:continuationSeparator/>
      </w:r>
    </w:p>
  </w:endnote>
  <w:endnote w:type="continuationNotice" w:id="1">
    <w:p w14:paraId="26C85944" w14:textId="77777777" w:rsidR="002F6E96" w:rsidRDefault="002F6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2EA4" w14:textId="37FE0EA1" w:rsidR="004F5138" w:rsidRPr="00073F3A" w:rsidRDefault="00073F3A" w:rsidP="00073F3A">
    <w:pPr>
      <w:pStyle w:val="Footer"/>
      <w:rPr>
        <w:sz w:val="22"/>
        <w:szCs w:val="22"/>
      </w:rPr>
    </w:pPr>
    <w:r w:rsidRPr="00073F3A">
      <w:rPr>
        <w:sz w:val="22"/>
        <w:szCs w:val="22"/>
      </w:rPr>
      <w:t xml:space="preserve">Page </w:t>
    </w:r>
    <w:r w:rsidRPr="00A9740D">
      <w:rPr>
        <w:b/>
        <w:bCs/>
        <w:sz w:val="22"/>
        <w:szCs w:val="22"/>
      </w:rPr>
      <w:fldChar w:fldCharType="begin"/>
    </w:r>
    <w:r w:rsidRPr="00A9740D">
      <w:rPr>
        <w:b/>
        <w:bCs/>
        <w:sz w:val="22"/>
        <w:szCs w:val="22"/>
      </w:rPr>
      <w:instrText xml:space="preserve"> PAGE   \* MERGEFORMAT </w:instrText>
    </w:r>
    <w:r w:rsidRPr="00A9740D">
      <w:rPr>
        <w:b/>
        <w:bCs/>
        <w:sz w:val="22"/>
        <w:szCs w:val="22"/>
      </w:rPr>
      <w:fldChar w:fldCharType="separate"/>
    </w:r>
    <w:r w:rsidR="005F67A9" w:rsidRPr="00A9740D">
      <w:rPr>
        <w:b/>
        <w:bCs/>
        <w:noProof/>
        <w:sz w:val="22"/>
        <w:szCs w:val="22"/>
      </w:rPr>
      <w:t>4</w:t>
    </w:r>
    <w:r w:rsidRPr="00A9740D">
      <w:rPr>
        <w:b/>
        <w:bCs/>
        <w:noProof/>
        <w:sz w:val="22"/>
        <w:szCs w:val="22"/>
      </w:rPr>
      <w:fldChar w:fldCharType="end"/>
    </w:r>
    <w:r w:rsidR="00A9740D" w:rsidRPr="00A9740D">
      <w:rPr>
        <w:b/>
        <w:bCs/>
        <w:noProof/>
        <w:sz w:val="22"/>
        <w:szCs w:val="22"/>
      </w:rPr>
      <w:t xml:space="preserve"> </w:t>
    </w:r>
    <w:r w:rsidR="00A9740D">
      <w:rPr>
        <w:noProof/>
        <w:sz w:val="22"/>
        <w:szCs w:val="22"/>
      </w:rPr>
      <w:t xml:space="preserve">of </w:t>
    </w:r>
    <w:r w:rsidR="00A9740D" w:rsidRPr="00A9740D">
      <w:rPr>
        <w:b/>
        <w:bCs/>
        <w:noProof/>
        <w:sz w:val="22"/>
        <w:szCs w:val="22"/>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200983"/>
      <w:docPartObj>
        <w:docPartGallery w:val="Page Numbers (Bottom of Page)"/>
        <w:docPartUnique/>
      </w:docPartObj>
    </w:sdtPr>
    <w:sdtEndPr>
      <w:rPr>
        <w:noProof/>
        <w:sz w:val="22"/>
        <w:szCs w:val="22"/>
      </w:rPr>
    </w:sdtEndPr>
    <w:sdtContent>
      <w:p w14:paraId="33092EA5" w14:textId="77777777" w:rsidR="006E64F4" w:rsidRPr="00073F3A" w:rsidRDefault="006E64F4" w:rsidP="006E64F4">
        <w:pPr>
          <w:pStyle w:val="Footer"/>
          <w:rPr>
            <w:sz w:val="22"/>
            <w:szCs w:val="22"/>
          </w:rPr>
        </w:pPr>
        <w:r w:rsidRPr="00073F3A">
          <w:rPr>
            <w:sz w:val="22"/>
            <w:szCs w:val="22"/>
          </w:rPr>
          <w:fldChar w:fldCharType="begin"/>
        </w:r>
        <w:r w:rsidRPr="00073F3A">
          <w:rPr>
            <w:sz w:val="22"/>
            <w:szCs w:val="22"/>
          </w:rPr>
          <w:instrText xml:space="preserve"> PAGE   \* MERGEFORMAT </w:instrText>
        </w:r>
        <w:r w:rsidRPr="00073F3A">
          <w:rPr>
            <w:sz w:val="22"/>
            <w:szCs w:val="22"/>
          </w:rPr>
          <w:fldChar w:fldCharType="separate"/>
        </w:r>
        <w:r w:rsidR="00073F3A">
          <w:rPr>
            <w:noProof/>
            <w:sz w:val="22"/>
            <w:szCs w:val="22"/>
          </w:rPr>
          <w:t>2</w:t>
        </w:r>
        <w:r w:rsidRPr="00073F3A">
          <w:rPr>
            <w:noProof/>
            <w:sz w:val="22"/>
            <w:szCs w:val="22"/>
          </w:rPr>
          <w:fldChar w:fldCharType="end"/>
        </w:r>
      </w:p>
    </w:sdtContent>
  </w:sdt>
  <w:p w14:paraId="33092EA6" w14:textId="77777777" w:rsidR="0041250C" w:rsidRDefault="00412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2EA9" w14:textId="77777777" w:rsidR="00073F3A" w:rsidRPr="00073F3A" w:rsidRDefault="00EA28CC" w:rsidP="00073F3A">
    <w:pPr>
      <w:pStyle w:val="Footer"/>
      <w:tabs>
        <w:tab w:val="clear" w:pos="4320"/>
        <w:tab w:val="clear" w:pos="8640"/>
        <w:tab w:val="left" w:pos="1335"/>
      </w:tabs>
      <w:rPr>
        <w:sz w:val="22"/>
        <w:szCs w:val="22"/>
      </w:rPr>
    </w:pPr>
    <w:sdt>
      <w:sdtPr>
        <w:id w:val="-572970711"/>
        <w:docPartObj>
          <w:docPartGallery w:val="Page Numbers (Bottom of Page)"/>
          <w:docPartUnique/>
        </w:docPartObj>
      </w:sdtPr>
      <w:sdtEndPr>
        <w:rPr>
          <w:noProof/>
          <w:sz w:val="22"/>
          <w:szCs w:val="22"/>
        </w:rPr>
      </w:sdtEndPr>
      <w:sdtContent>
        <w:r w:rsidR="00073F3A" w:rsidRPr="00073F3A">
          <w:rPr>
            <w:sz w:val="22"/>
            <w:szCs w:val="22"/>
          </w:rPr>
          <w:fldChar w:fldCharType="begin"/>
        </w:r>
        <w:r w:rsidR="00073F3A" w:rsidRPr="00073F3A">
          <w:rPr>
            <w:sz w:val="22"/>
            <w:szCs w:val="22"/>
          </w:rPr>
          <w:instrText xml:space="preserve"> PAGE   \* MERGEFORMAT </w:instrText>
        </w:r>
        <w:r w:rsidR="00073F3A" w:rsidRPr="00073F3A">
          <w:rPr>
            <w:sz w:val="22"/>
            <w:szCs w:val="22"/>
          </w:rPr>
          <w:fldChar w:fldCharType="separate"/>
        </w:r>
        <w:r w:rsidR="00073F3A">
          <w:rPr>
            <w:noProof/>
            <w:sz w:val="22"/>
            <w:szCs w:val="22"/>
          </w:rPr>
          <w:t>2</w:t>
        </w:r>
        <w:r w:rsidR="00073F3A" w:rsidRPr="00073F3A">
          <w:rPr>
            <w:noProof/>
            <w:sz w:val="22"/>
            <w:szCs w:val="22"/>
          </w:rPr>
          <w:fldChar w:fldCharType="end"/>
        </w:r>
      </w:sdtContent>
    </w:sdt>
    <w:r w:rsidR="00073F3A">
      <w:rPr>
        <w:noProof/>
        <w:sz w:val="22"/>
        <w:szCs w:val="22"/>
      </w:rPr>
      <w:tab/>
    </w:r>
  </w:p>
  <w:p w14:paraId="33092EAA" w14:textId="77777777" w:rsidR="00073F3A" w:rsidRDefault="00073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9636" w14:textId="77777777" w:rsidR="002F6E96" w:rsidRDefault="002F6E96" w:rsidP="00967EB8">
      <w:r>
        <w:separator/>
      </w:r>
    </w:p>
  </w:footnote>
  <w:footnote w:type="continuationSeparator" w:id="0">
    <w:p w14:paraId="5F1C3A1B" w14:textId="77777777" w:rsidR="002F6E96" w:rsidRDefault="002F6E96" w:rsidP="00967EB8">
      <w:r>
        <w:continuationSeparator/>
      </w:r>
    </w:p>
  </w:footnote>
  <w:footnote w:type="continuationNotice" w:id="1">
    <w:p w14:paraId="40757C9C" w14:textId="77777777" w:rsidR="002F6E96" w:rsidRDefault="002F6E96"/>
  </w:footnote>
  <w:footnote w:id="2">
    <w:p w14:paraId="31540B80" w14:textId="2A662C28" w:rsidR="00363A4E" w:rsidRPr="00363A4E" w:rsidRDefault="00A54E5A">
      <w:pPr>
        <w:pStyle w:val="FootnoteText"/>
      </w:pPr>
      <w:r>
        <w:rPr>
          <w:rStyle w:val="FootnoteReference"/>
        </w:rPr>
        <w:footnoteRef/>
      </w:r>
      <w:r>
        <w:t xml:space="preserve"> </w:t>
      </w:r>
      <w:r w:rsidR="002555B6">
        <w:t>Smallbone</w:t>
      </w:r>
      <w:r w:rsidR="00A9740D">
        <w:t>, S</w:t>
      </w:r>
      <w:r w:rsidR="002555B6">
        <w:t xml:space="preserve"> </w:t>
      </w:r>
      <w:r w:rsidR="00A9740D">
        <w:t>&amp;</w:t>
      </w:r>
      <w:r w:rsidR="002555B6">
        <w:t xml:space="preserve"> McCormack,</w:t>
      </w:r>
      <w:r w:rsidR="00A9740D">
        <w:t xml:space="preserve"> T 2021,</w:t>
      </w:r>
      <w:r w:rsidR="002555B6">
        <w:t xml:space="preserve"> </w:t>
      </w:r>
      <w:r w:rsidR="00363A4E" w:rsidRPr="002555B6">
        <w:rPr>
          <w:i/>
          <w:iCs/>
        </w:rPr>
        <w:t>Independent Inquiry into the Department of Education’s Responses to Child Sexual Abuse</w:t>
      </w:r>
      <w:r w:rsidR="00A9740D">
        <w:t xml:space="preserve">, </w:t>
      </w:r>
      <w:r w:rsidR="002555B6">
        <w:t>Final Report, 7 June</w:t>
      </w:r>
      <w:r w:rsidR="00363A4E">
        <w:t>.</w:t>
      </w:r>
    </w:p>
  </w:footnote>
  <w:footnote w:id="3">
    <w:p w14:paraId="7AC39CE8" w14:textId="556BB0DF" w:rsidR="00942E77" w:rsidRPr="00942E77" w:rsidRDefault="00942E77">
      <w:pPr>
        <w:pStyle w:val="FootnoteText"/>
        <w:rPr>
          <w:lang w:val="en-US"/>
        </w:rPr>
      </w:pPr>
      <w:r>
        <w:rPr>
          <w:rStyle w:val="FootnoteReference"/>
        </w:rPr>
        <w:footnoteRef/>
      </w:r>
      <w:r w:rsidR="0093554F">
        <w:rPr>
          <w:i/>
          <w:iCs/>
        </w:rPr>
        <w:t xml:space="preserve"> </w:t>
      </w:r>
      <w:r w:rsidR="00934FAB">
        <w:rPr>
          <w:i/>
          <w:iCs/>
        </w:rPr>
        <w:t>Commission of Inquiry into the Tasmanian Government’s Responses to Child Sexual Abuse</w:t>
      </w:r>
      <w:r w:rsidR="00A9740D">
        <w:t xml:space="preserve">, Final </w:t>
      </w:r>
      <w:r w:rsidR="00934FAB">
        <w:t xml:space="preserve">Report, August 2023, </w:t>
      </w:r>
      <w:r w:rsidR="00A9740D">
        <w:t xml:space="preserve">p. </w:t>
      </w:r>
      <w:r w:rsidR="00934FAB">
        <w:t>78.</w:t>
      </w:r>
      <w:r w:rsidR="00762540">
        <w:t xml:space="preserve"> </w:t>
      </w:r>
    </w:p>
  </w:footnote>
  <w:footnote w:id="4">
    <w:p w14:paraId="0D28507D" w14:textId="535D4680" w:rsidR="00F81C10" w:rsidRPr="00ED663C" w:rsidRDefault="00F81C10" w:rsidP="00F81C10">
      <w:pPr>
        <w:pStyle w:val="FootnoteText"/>
        <w:rPr>
          <w:lang w:val="en-US"/>
        </w:rPr>
      </w:pPr>
      <w:r>
        <w:rPr>
          <w:rStyle w:val="FootnoteReference"/>
        </w:rPr>
        <w:footnoteRef/>
      </w:r>
      <w:r>
        <w:t xml:space="preserve"> </w:t>
      </w:r>
      <w:r>
        <w:rPr>
          <w:i/>
          <w:iCs/>
        </w:rPr>
        <w:t>Commission of Inquiry into the Tasmanian Government’s Responses to Child Sexual Abuse</w:t>
      </w:r>
      <w:r w:rsidR="00442254">
        <w:t xml:space="preserve">, Final </w:t>
      </w:r>
      <w:r>
        <w:t xml:space="preserve">Report, August 2023, </w:t>
      </w:r>
      <w:r w:rsidR="00442254">
        <w:t xml:space="preserve">pp. </w:t>
      </w:r>
      <w:r>
        <w:t>194-195.</w:t>
      </w:r>
    </w:p>
  </w:footnote>
  <w:footnote w:id="5">
    <w:p w14:paraId="70DE015F" w14:textId="77777777" w:rsidR="00C95A39" w:rsidRPr="00693174" w:rsidRDefault="00C95A39" w:rsidP="00C95A39">
      <w:pPr>
        <w:pStyle w:val="FootnoteText"/>
        <w:rPr>
          <w:lang w:val="en-US"/>
        </w:rPr>
      </w:pPr>
      <w:r>
        <w:rPr>
          <w:rStyle w:val="FootnoteReference"/>
        </w:rPr>
        <w:footnoteRef/>
      </w:r>
      <w:r>
        <w:t xml:space="preserve"> Statement of Tim Cartwright APM, 22 August 2022; Statement of Jan Shuard PSM, 4 September 2022.</w:t>
      </w:r>
    </w:p>
  </w:footnote>
  <w:footnote w:id="6">
    <w:p w14:paraId="1D8C4118" w14:textId="7F3375DA" w:rsidR="00F045B9" w:rsidRPr="00F045B9" w:rsidRDefault="00F045B9">
      <w:pPr>
        <w:pStyle w:val="FootnoteText"/>
        <w:rPr>
          <w:lang w:val="en-US"/>
        </w:rPr>
      </w:pPr>
      <w:r>
        <w:rPr>
          <w:rStyle w:val="FootnoteReference"/>
        </w:rPr>
        <w:footnoteRef/>
      </w:r>
      <w:r>
        <w:t xml:space="preserve"> </w:t>
      </w:r>
      <w:r w:rsidR="001604FD">
        <w:t xml:space="preserve">Child Safety Reform Implementation Monitor Bill 2024, </w:t>
      </w:r>
      <w:r w:rsidR="00604EB5">
        <w:t>Clause 8 (1)</w:t>
      </w:r>
      <w:r w:rsidR="00B447FB">
        <w:t>(a) and</w:t>
      </w:r>
      <w:r w:rsidR="00604EB5">
        <w:t xml:space="preserve"> (b)</w:t>
      </w:r>
      <w:r w:rsidR="005D78F5">
        <w:t>.</w:t>
      </w:r>
      <w:r w:rsidR="00604EB5">
        <w:t xml:space="preserve"> </w:t>
      </w:r>
    </w:p>
  </w:footnote>
  <w:footnote w:id="7">
    <w:p w14:paraId="415CE724" w14:textId="5BC5F6EC" w:rsidR="00057E94" w:rsidRPr="00057E94" w:rsidRDefault="00057E94">
      <w:pPr>
        <w:pStyle w:val="FootnoteText"/>
        <w:rPr>
          <w:lang w:val="en-US"/>
        </w:rPr>
      </w:pPr>
      <w:r>
        <w:rPr>
          <w:rStyle w:val="FootnoteReference"/>
        </w:rPr>
        <w:footnoteRef/>
      </w:r>
      <w:r>
        <w:t xml:space="preserve"> </w:t>
      </w:r>
      <w:r w:rsidR="00007DCD" w:rsidRPr="00F81C10">
        <w:rPr>
          <w:i/>
          <w:iCs/>
        </w:rPr>
        <w:t>Bushfires Royal Commission Implementation Monitor Act</w:t>
      </w:r>
      <w:r w:rsidR="00007DCD">
        <w:t xml:space="preserve"> </w:t>
      </w:r>
      <w:r w:rsidR="00007DCD" w:rsidRPr="00B447FB">
        <w:rPr>
          <w:i/>
          <w:iCs/>
        </w:rPr>
        <w:t>2011</w:t>
      </w:r>
      <w:r w:rsidR="00007DCD">
        <w:t xml:space="preserve">, </w:t>
      </w:r>
      <w:r w:rsidR="00E02564">
        <w:t xml:space="preserve">Clause </w:t>
      </w:r>
      <w:r w:rsidR="00D95BC1">
        <w:rPr>
          <w:lang w:val="en-US"/>
        </w:rPr>
        <w:t>11 (1)</w:t>
      </w:r>
      <w:r w:rsidR="007064EE">
        <w:rPr>
          <w:lang w:val="en-US"/>
        </w:rPr>
        <w:t>.</w:t>
      </w:r>
      <w:r w:rsidR="00D95BC1">
        <w:rPr>
          <w:lang w:val="en-US"/>
        </w:rPr>
        <w:t xml:space="preserve"> </w:t>
      </w:r>
    </w:p>
  </w:footnote>
  <w:footnote w:id="8">
    <w:p w14:paraId="5208444F" w14:textId="13118239" w:rsidR="002960DA" w:rsidRPr="002960DA" w:rsidRDefault="002960DA">
      <w:pPr>
        <w:pStyle w:val="FootnoteText"/>
        <w:rPr>
          <w:lang w:val="en-US"/>
        </w:rPr>
      </w:pPr>
      <w:r>
        <w:rPr>
          <w:rStyle w:val="FootnoteReference"/>
        </w:rPr>
        <w:footnoteRef/>
      </w:r>
      <w:r>
        <w:t xml:space="preserve"> </w:t>
      </w:r>
      <w:r w:rsidR="005267D0">
        <w:t>Child Safety Reform Implementation Monitor Bil</w:t>
      </w:r>
      <w:r w:rsidR="00A405DD">
        <w:t>l</w:t>
      </w:r>
      <w:r w:rsidR="005267D0">
        <w:t xml:space="preserve"> 2024,</w:t>
      </w:r>
      <w:r w:rsidR="005267D0">
        <w:rPr>
          <w:lang w:val="en-US"/>
        </w:rPr>
        <w:t xml:space="preserve"> Clause </w:t>
      </w:r>
      <w:r w:rsidR="00BF7997">
        <w:rPr>
          <w:lang w:val="en-US"/>
        </w:rPr>
        <w:t>9.</w:t>
      </w:r>
    </w:p>
  </w:footnote>
  <w:footnote w:id="9">
    <w:p w14:paraId="7FCD426F" w14:textId="14F97973" w:rsidR="0006501B" w:rsidRPr="0006501B" w:rsidRDefault="0006501B">
      <w:pPr>
        <w:pStyle w:val="FootnoteText"/>
        <w:rPr>
          <w:lang w:val="en-US"/>
        </w:rPr>
      </w:pPr>
      <w:r>
        <w:rPr>
          <w:rStyle w:val="FootnoteReference"/>
        </w:rPr>
        <w:footnoteRef/>
      </w:r>
      <w:r>
        <w:t xml:space="preserve"> Child Safety Reform Implementation Monitor Bill 2024,</w:t>
      </w:r>
      <w:r>
        <w:rPr>
          <w:lang w:val="en-US"/>
        </w:rPr>
        <w:t xml:space="preserve"> Clause </w:t>
      </w:r>
      <w:r w:rsidR="008E589B">
        <w:rPr>
          <w:lang w:val="en-US"/>
        </w:rPr>
        <w:t>10 (b)(ii) and (c)(i)</w:t>
      </w:r>
      <w:r w:rsidR="00530646">
        <w:rPr>
          <w:lang w:val="en-US"/>
        </w:rPr>
        <w:t>(ii)</w:t>
      </w:r>
      <w:r>
        <w:rPr>
          <w:lang w:val="en-US"/>
        </w:rPr>
        <w:t>.</w:t>
      </w:r>
    </w:p>
  </w:footnote>
  <w:footnote w:id="10">
    <w:p w14:paraId="198AD4EF" w14:textId="43408453" w:rsidR="00C24A1B" w:rsidRPr="002D4720" w:rsidRDefault="00C24A1B">
      <w:pPr>
        <w:pStyle w:val="FootnoteText"/>
        <w:rPr>
          <w:i/>
          <w:iCs/>
          <w:lang w:val="en-US"/>
        </w:rPr>
      </w:pPr>
      <w:r>
        <w:rPr>
          <w:rStyle w:val="FootnoteReference"/>
        </w:rPr>
        <w:footnoteRef/>
      </w:r>
      <w:r>
        <w:t xml:space="preserve"> </w:t>
      </w:r>
      <w:r w:rsidR="00461CE3">
        <w:rPr>
          <w:i/>
          <w:iCs/>
        </w:rPr>
        <w:t>Family Violence Reform Implementation Monitor Act 2016</w:t>
      </w:r>
      <w:r w:rsidR="002D4720">
        <w:t xml:space="preserve">; </w:t>
      </w:r>
      <w:r w:rsidR="002D4720">
        <w:rPr>
          <w:i/>
          <w:iCs/>
        </w:rPr>
        <w:t>Bushfires Royal Commission Implementation Monitor Act 2011.</w:t>
      </w:r>
    </w:p>
  </w:footnote>
  <w:footnote w:id="11">
    <w:p w14:paraId="42EDA978" w14:textId="2889AAD7" w:rsidR="00952B5A" w:rsidRPr="00952B5A" w:rsidRDefault="00952B5A">
      <w:pPr>
        <w:pStyle w:val="FootnoteText"/>
        <w:rPr>
          <w:lang w:val="en-US"/>
        </w:rPr>
      </w:pPr>
      <w:r>
        <w:rPr>
          <w:rStyle w:val="FootnoteReference"/>
        </w:rPr>
        <w:footnoteRef/>
      </w:r>
      <w:r>
        <w:t xml:space="preserve"> </w:t>
      </w:r>
      <w:r w:rsidR="00347351">
        <w:t>Child Safety Reform Implementation Monitor Bill 2024,</w:t>
      </w:r>
      <w:r w:rsidR="00347351">
        <w:rPr>
          <w:lang w:val="en-US"/>
        </w:rPr>
        <w:t xml:space="preserve"> </w:t>
      </w:r>
      <w:r w:rsidR="00DB0F11">
        <w:rPr>
          <w:lang w:val="en-US"/>
        </w:rPr>
        <w:t>Clause 15(2)(a)</w:t>
      </w:r>
      <w:r w:rsidR="00347351">
        <w:rPr>
          <w:lang w:val="en-US"/>
        </w:rPr>
        <w:t>.</w:t>
      </w:r>
      <w:r w:rsidR="00DB0F11">
        <w:rPr>
          <w:lang w:val="en-US"/>
        </w:rPr>
        <w:t xml:space="preserve"> </w:t>
      </w:r>
    </w:p>
  </w:footnote>
  <w:footnote w:id="12">
    <w:p w14:paraId="3F38F3F2" w14:textId="609ECD39" w:rsidR="00023DD0" w:rsidRPr="00404097" w:rsidRDefault="00023DD0">
      <w:pPr>
        <w:pStyle w:val="FootnoteText"/>
        <w:rPr>
          <w:lang w:val="en-US"/>
        </w:rPr>
      </w:pPr>
      <w:r>
        <w:rPr>
          <w:rStyle w:val="FootnoteReference"/>
        </w:rPr>
        <w:footnoteRef/>
      </w:r>
      <w:r>
        <w:t xml:space="preserve"> </w:t>
      </w:r>
      <w:r>
        <w:rPr>
          <w:lang w:val="en-US"/>
        </w:rPr>
        <w:t xml:space="preserve">Office of the Custodial Inspector Tasmania, </w:t>
      </w:r>
      <w:r>
        <w:rPr>
          <w:i/>
          <w:iCs/>
          <w:lang w:val="en-US"/>
        </w:rPr>
        <w:t xml:space="preserve">Annual Report </w:t>
      </w:r>
      <w:r w:rsidR="00404097">
        <w:rPr>
          <w:i/>
          <w:iCs/>
          <w:lang w:val="en-US"/>
        </w:rPr>
        <w:t>2022</w:t>
      </w:r>
      <w:r w:rsidR="00E02564">
        <w:rPr>
          <w:i/>
          <w:iCs/>
          <w:lang w:val="en-US"/>
        </w:rPr>
        <w:t>/</w:t>
      </w:r>
      <w:r w:rsidR="00404097">
        <w:rPr>
          <w:i/>
          <w:iCs/>
          <w:lang w:val="en-US"/>
        </w:rPr>
        <w:t>23</w:t>
      </w:r>
      <w:r w:rsidR="00404097">
        <w:rPr>
          <w:lang w:val="en-US"/>
        </w:rPr>
        <w:t xml:space="preserve">, </w:t>
      </w:r>
      <w:r w:rsidR="00E02564">
        <w:rPr>
          <w:lang w:val="en-US"/>
        </w:rPr>
        <w:t xml:space="preserve">p. </w:t>
      </w:r>
      <w:r w:rsidR="00404097">
        <w:rPr>
          <w:lang w:val="en-US"/>
        </w:rPr>
        <w:t>6.</w:t>
      </w:r>
    </w:p>
  </w:footnote>
  <w:footnote w:id="13">
    <w:p w14:paraId="6EE1C4D2" w14:textId="2F92A9D2" w:rsidR="00964AF2" w:rsidRPr="00964AF2" w:rsidRDefault="00964AF2">
      <w:pPr>
        <w:pStyle w:val="FootnoteText"/>
        <w:rPr>
          <w:lang w:val="en-US"/>
        </w:rPr>
      </w:pPr>
      <w:r>
        <w:rPr>
          <w:rStyle w:val="FootnoteReference"/>
        </w:rPr>
        <w:footnoteRef/>
      </w:r>
      <w:r>
        <w:t xml:space="preserve"> </w:t>
      </w:r>
      <w:r w:rsidR="00347351">
        <w:t>Child Safety Reform Implementation Monitor Bill 2024, Clause 22(a).</w:t>
      </w:r>
    </w:p>
  </w:footnote>
  <w:footnote w:id="14">
    <w:p w14:paraId="59AF5FD9" w14:textId="2CE47DBA" w:rsidR="00BC3E16" w:rsidRPr="00BC3E16" w:rsidRDefault="00BC3E16">
      <w:pPr>
        <w:pStyle w:val="FootnoteText"/>
        <w:rPr>
          <w:lang w:val="en-US"/>
        </w:rPr>
      </w:pPr>
      <w:r>
        <w:rPr>
          <w:rStyle w:val="FootnoteReference"/>
        </w:rPr>
        <w:footnoteRef/>
      </w:r>
      <w:r>
        <w:t xml:space="preserve"> </w:t>
      </w:r>
      <w:r w:rsidR="009900A9">
        <w:t>F</w:t>
      </w:r>
      <w:r>
        <w:rPr>
          <w:lang w:val="en-US"/>
        </w:rPr>
        <w:t xml:space="preserve">or example, </w:t>
      </w:r>
      <w:r w:rsidR="009900A9">
        <w:rPr>
          <w:lang w:val="en-US"/>
        </w:rPr>
        <w:t xml:space="preserve">in the ACT, all bills must be accompanied by a </w:t>
      </w:r>
      <w:hyperlink r:id="rId1" w:history="1">
        <w:r w:rsidR="00B73BF1" w:rsidRPr="00E02564">
          <w:rPr>
            <w:rStyle w:val="Hyperlink"/>
            <w:lang w:val="en-US"/>
          </w:rPr>
          <w:t>Statements of Compatibility</w:t>
        </w:r>
      </w:hyperlink>
      <w:r w:rsidR="00E02564">
        <w:rPr>
          <w:lang w:val="en-US"/>
        </w:rPr>
        <w:t>,</w:t>
      </w:r>
      <w:r w:rsidR="00B73BF1">
        <w:rPr>
          <w:lang w:val="en-US"/>
        </w:rPr>
        <w:t xml:space="preserve"> </w:t>
      </w:r>
      <w:r w:rsidR="009900A9">
        <w:rPr>
          <w:lang w:val="en-US"/>
        </w:rPr>
        <w:t xml:space="preserve">which includes an assessment of </w:t>
      </w:r>
      <w:r w:rsidR="006167C4">
        <w:rPr>
          <w:lang w:val="en-US"/>
        </w:rPr>
        <w:t>how the proposed legislation will be compatible with and/or support various international human rights instruments</w:t>
      </w:r>
      <w:r w:rsidR="00526B4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2EA3" w14:textId="77777777" w:rsidR="00575F9D" w:rsidRDefault="00575F9D">
    <w:r>
      <w:rPr>
        <w:noProof/>
        <w:lang w:eastAsia="en-AU"/>
      </w:rPr>
      <w:drawing>
        <wp:anchor distT="0" distB="0" distL="114300" distR="114300" simplePos="0" relativeHeight="251658240" behindDoc="1" locked="0" layoutInCell="1" allowOverlap="1" wp14:anchorId="33092EAB" wp14:editId="33092EAC">
          <wp:simplePos x="0" y="0"/>
          <wp:positionH relativeFrom="page">
            <wp:posOffset>0</wp:posOffset>
          </wp:positionH>
          <wp:positionV relativeFrom="page">
            <wp:posOffset>0</wp:posOffset>
          </wp:positionV>
          <wp:extent cx="7559292" cy="10692741"/>
          <wp:effectExtent l="0" t="0" r="1016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OSS_Cover-Yellow.png"/>
                  <pic:cNvPicPr/>
                </pic:nvPicPr>
                <pic:blipFill>
                  <a:blip r:embed="rId1">
                    <a:extLst>
                      <a:ext uri="{28A0092B-C50C-407E-A947-70E740481C1C}">
                        <a14:useLocalDpi xmlns:a14="http://schemas.microsoft.com/office/drawing/2010/main" val="0"/>
                      </a:ext>
                    </a:extLst>
                  </a:blip>
                  <a:stretch>
                    <a:fillRect/>
                  </a:stretch>
                </pic:blipFill>
                <pic:spPr>
                  <a:xfrm>
                    <a:off x="0" y="0"/>
                    <a:ext cx="7559292" cy="106927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2EA7" w14:textId="77777777" w:rsidR="00575F9D" w:rsidRDefault="00575F9D">
    <w:r>
      <w:rPr>
        <w:noProof/>
        <w:lang w:eastAsia="en-AU"/>
      </w:rPr>
      <w:drawing>
        <wp:anchor distT="0" distB="0" distL="114300" distR="114300" simplePos="0" relativeHeight="251658241" behindDoc="1" locked="0" layoutInCell="1" allowOverlap="1" wp14:anchorId="33092EAD" wp14:editId="33092EAE">
          <wp:simplePos x="0" y="0"/>
          <wp:positionH relativeFrom="page">
            <wp:posOffset>0</wp:posOffset>
          </wp:positionH>
          <wp:positionV relativeFrom="page">
            <wp:posOffset>0</wp:posOffset>
          </wp:positionV>
          <wp:extent cx="7559292" cy="10692741"/>
          <wp:effectExtent l="0" t="0" r="1016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OSS_Follower-Yellow.png"/>
                  <pic:cNvPicPr/>
                </pic:nvPicPr>
                <pic:blipFill>
                  <a:blip r:embed="rId1">
                    <a:extLst>
                      <a:ext uri="{28A0092B-C50C-407E-A947-70E740481C1C}">
                        <a14:useLocalDpi xmlns:a14="http://schemas.microsoft.com/office/drawing/2010/main" val="0"/>
                      </a:ext>
                    </a:extLst>
                  </a:blip>
                  <a:stretch>
                    <a:fillRect/>
                  </a:stretch>
                </pic:blipFill>
                <pic:spPr>
                  <a:xfrm>
                    <a:off x="0" y="0"/>
                    <a:ext cx="7559292" cy="106927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2EA8" w14:textId="77777777" w:rsidR="00575F9D" w:rsidRDefault="00575F9D" w:rsidP="004F5138">
    <w:pPr>
      <w:tabs>
        <w:tab w:val="left" w:pos="6067"/>
      </w:tabs>
    </w:pPr>
    <w:r>
      <w:rPr>
        <w:noProof/>
        <w:lang w:eastAsia="en-AU"/>
      </w:rPr>
      <w:drawing>
        <wp:anchor distT="0" distB="0" distL="114300" distR="114300" simplePos="0" relativeHeight="251658242" behindDoc="1" locked="0" layoutInCell="1" allowOverlap="1" wp14:anchorId="33092EAF" wp14:editId="33092EB0">
          <wp:simplePos x="0" y="0"/>
          <wp:positionH relativeFrom="page">
            <wp:align>left</wp:align>
          </wp:positionH>
          <wp:positionV relativeFrom="page">
            <wp:align>top</wp:align>
          </wp:positionV>
          <wp:extent cx="7559292" cy="10692741"/>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OSS_First-Yellow.png"/>
                  <pic:cNvPicPr/>
                </pic:nvPicPr>
                <pic:blipFill>
                  <a:blip r:embed="rId1">
                    <a:extLst>
                      <a:ext uri="{28A0092B-C50C-407E-A947-70E740481C1C}">
                        <a14:useLocalDpi xmlns:a14="http://schemas.microsoft.com/office/drawing/2010/main" val="0"/>
                      </a:ext>
                    </a:extLst>
                  </a:blip>
                  <a:stretch>
                    <a:fillRect/>
                  </a:stretch>
                </pic:blipFill>
                <pic:spPr>
                  <a:xfrm>
                    <a:off x="0" y="0"/>
                    <a:ext cx="7559292" cy="106927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4F513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BFF"/>
    <w:multiLevelType w:val="hybridMultilevel"/>
    <w:tmpl w:val="6E30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45E60"/>
    <w:multiLevelType w:val="hybridMultilevel"/>
    <w:tmpl w:val="C57006B6"/>
    <w:lvl w:ilvl="0" w:tplc="CE9E0B74">
      <w:start w:val="1"/>
      <w:numFmt w:val="lowerLetter"/>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F42341"/>
    <w:multiLevelType w:val="hybridMultilevel"/>
    <w:tmpl w:val="8F76392A"/>
    <w:lvl w:ilvl="0" w:tplc="8F2AB80C">
      <w:start w:val="1"/>
      <w:numFmt w:val="decimal"/>
      <w:lvlText w:val="%1."/>
      <w:lvlJc w:val="left"/>
      <w:pPr>
        <w:ind w:left="720" w:hanging="360"/>
      </w:pPr>
      <w:rPr>
        <w:rFonts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16147"/>
    <w:multiLevelType w:val="hybridMultilevel"/>
    <w:tmpl w:val="792E34B8"/>
    <w:lvl w:ilvl="0" w:tplc="947854FE">
      <w:start w:val="1"/>
      <w:numFmt w:val="bullet"/>
      <w:lvlText w:val="-"/>
      <w:lvlJc w:val="left"/>
      <w:pPr>
        <w:ind w:left="1440" w:hanging="360"/>
      </w:pPr>
      <w:rPr>
        <w:rFonts w:ascii="Calibri" w:eastAsiaTheme="minorHAnsi" w:hAnsi="Calibri" w:cs="Calibri"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78B1644"/>
    <w:multiLevelType w:val="hybridMultilevel"/>
    <w:tmpl w:val="26282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06388"/>
    <w:multiLevelType w:val="hybridMultilevel"/>
    <w:tmpl w:val="A22E4A96"/>
    <w:lvl w:ilvl="0" w:tplc="639CBAB0">
      <w:start w:val="2"/>
      <w:numFmt w:val="bullet"/>
      <w:lvlText w:val="-"/>
      <w:lvlJc w:val="left"/>
      <w:pPr>
        <w:ind w:left="360" w:hanging="360"/>
      </w:pPr>
      <w:rPr>
        <w:rFonts w:ascii="Calibri" w:eastAsiaTheme="minorEastAsia"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387775"/>
    <w:multiLevelType w:val="hybridMultilevel"/>
    <w:tmpl w:val="04F69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64AD8"/>
    <w:multiLevelType w:val="hybridMultilevel"/>
    <w:tmpl w:val="E46A4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4732EC"/>
    <w:multiLevelType w:val="hybridMultilevel"/>
    <w:tmpl w:val="21925EC2"/>
    <w:lvl w:ilvl="0" w:tplc="C9FC6452">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AC4F8A"/>
    <w:multiLevelType w:val="hybridMultilevel"/>
    <w:tmpl w:val="E20A2EB2"/>
    <w:lvl w:ilvl="0" w:tplc="AD947E40">
      <w:start w:val="3"/>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415199"/>
    <w:multiLevelType w:val="hybridMultilevel"/>
    <w:tmpl w:val="4C8C0688"/>
    <w:lvl w:ilvl="0" w:tplc="EF0AD12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06FED"/>
    <w:multiLevelType w:val="hybridMultilevel"/>
    <w:tmpl w:val="7C623F14"/>
    <w:lvl w:ilvl="0" w:tplc="E76EFF88">
      <w:start w:val="1"/>
      <w:numFmt w:val="lowerLetter"/>
      <w:lvlText w:val="%1."/>
      <w:lvlJc w:val="left"/>
      <w:pPr>
        <w:ind w:left="1080" w:hanging="360"/>
      </w:pPr>
      <w:rPr>
        <w:rFonts w:hint="default"/>
        <w:b/>
        <w:bCs w:val="0"/>
      </w:rPr>
    </w:lvl>
    <w:lvl w:ilvl="1" w:tplc="484E36DA">
      <w:start w:val="1"/>
      <w:numFmt w:val="lowerRoman"/>
      <w:lvlText w:val="%2."/>
      <w:lvlJc w:val="right"/>
      <w:pPr>
        <w:ind w:left="1800" w:hanging="360"/>
      </w:pPr>
      <w:rPr>
        <w:b/>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FD5833"/>
    <w:multiLevelType w:val="hybridMultilevel"/>
    <w:tmpl w:val="A560E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4D2F13"/>
    <w:multiLevelType w:val="hybridMultilevel"/>
    <w:tmpl w:val="652E1F8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7B5554D"/>
    <w:multiLevelType w:val="hybridMultilevel"/>
    <w:tmpl w:val="59DA9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160B8F"/>
    <w:multiLevelType w:val="hybridMultilevel"/>
    <w:tmpl w:val="24AE7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042ED0"/>
    <w:multiLevelType w:val="hybridMultilevel"/>
    <w:tmpl w:val="5BE85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967099"/>
    <w:multiLevelType w:val="hybridMultilevel"/>
    <w:tmpl w:val="F97A6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276143"/>
    <w:multiLevelType w:val="hybridMultilevel"/>
    <w:tmpl w:val="35349318"/>
    <w:lvl w:ilvl="0" w:tplc="A18631D8">
      <w:start w:val="1"/>
      <w:numFmt w:val="lowerLetter"/>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9E221C"/>
    <w:multiLevelType w:val="hybridMultilevel"/>
    <w:tmpl w:val="A746D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096863"/>
    <w:multiLevelType w:val="hybridMultilevel"/>
    <w:tmpl w:val="115EB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F70ABF"/>
    <w:multiLevelType w:val="hybridMultilevel"/>
    <w:tmpl w:val="E7DA3D4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7B9498B"/>
    <w:multiLevelType w:val="hybridMultilevel"/>
    <w:tmpl w:val="315E66B0"/>
    <w:lvl w:ilvl="0" w:tplc="D4BCF288">
      <w:start w:val="1"/>
      <w:numFmt w:val="lowerLetter"/>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958669E"/>
    <w:multiLevelType w:val="hybridMultilevel"/>
    <w:tmpl w:val="2F7E4D98"/>
    <w:lvl w:ilvl="0" w:tplc="568E1B90">
      <w:start w:val="1"/>
      <w:numFmt w:val="lowerLetter"/>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42141809">
    <w:abstractNumId w:val="15"/>
  </w:num>
  <w:num w:numId="2" w16cid:durableId="938833998">
    <w:abstractNumId w:val="12"/>
  </w:num>
  <w:num w:numId="3" w16cid:durableId="1584530081">
    <w:abstractNumId w:val="0"/>
  </w:num>
  <w:num w:numId="4" w16cid:durableId="1168013419">
    <w:abstractNumId w:val="17"/>
  </w:num>
  <w:num w:numId="5" w16cid:durableId="1754859068">
    <w:abstractNumId w:val="13"/>
  </w:num>
  <w:num w:numId="6" w16cid:durableId="655493608">
    <w:abstractNumId w:val="14"/>
  </w:num>
  <w:num w:numId="7" w16cid:durableId="691031158">
    <w:abstractNumId w:val="6"/>
  </w:num>
  <w:num w:numId="8" w16cid:durableId="26494480">
    <w:abstractNumId w:val="7"/>
  </w:num>
  <w:num w:numId="9" w16cid:durableId="882331794">
    <w:abstractNumId w:val="3"/>
  </w:num>
  <w:num w:numId="10" w16cid:durableId="2065399612">
    <w:abstractNumId w:val="21"/>
  </w:num>
  <w:num w:numId="11" w16cid:durableId="323241742">
    <w:abstractNumId w:val="5"/>
  </w:num>
  <w:num w:numId="12" w16cid:durableId="378289761">
    <w:abstractNumId w:val="8"/>
  </w:num>
  <w:num w:numId="13" w16cid:durableId="1899245477">
    <w:abstractNumId w:val="2"/>
  </w:num>
  <w:num w:numId="14" w16cid:durableId="1775244113">
    <w:abstractNumId w:val="16"/>
  </w:num>
  <w:num w:numId="15" w16cid:durableId="664675478">
    <w:abstractNumId w:val="19"/>
  </w:num>
  <w:num w:numId="16" w16cid:durableId="768699507">
    <w:abstractNumId w:val="9"/>
  </w:num>
  <w:num w:numId="17" w16cid:durableId="1075397158">
    <w:abstractNumId w:val="11"/>
  </w:num>
  <w:num w:numId="18" w16cid:durableId="612593851">
    <w:abstractNumId w:val="20"/>
  </w:num>
  <w:num w:numId="19" w16cid:durableId="406195491">
    <w:abstractNumId w:val="23"/>
  </w:num>
  <w:num w:numId="20" w16cid:durableId="1217625400">
    <w:abstractNumId w:val="4"/>
  </w:num>
  <w:num w:numId="21" w16cid:durableId="805006320">
    <w:abstractNumId w:val="1"/>
  </w:num>
  <w:num w:numId="22" w16cid:durableId="1153720266">
    <w:abstractNumId w:val="22"/>
  </w:num>
  <w:num w:numId="23" w16cid:durableId="560479309">
    <w:abstractNumId w:val="18"/>
  </w:num>
  <w:num w:numId="24" w16cid:durableId="14486215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F7"/>
    <w:rsid w:val="00004BA1"/>
    <w:rsid w:val="00007DCD"/>
    <w:rsid w:val="00015CA0"/>
    <w:rsid w:val="000226D5"/>
    <w:rsid w:val="00023DD0"/>
    <w:rsid w:val="00024497"/>
    <w:rsid w:val="00026633"/>
    <w:rsid w:val="00027C28"/>
    <w:rsid w:val="00044461"/>
    <w:rsid w:val="000445E5"/>
    <w:rsid w:val="00047531"/>
    <w:rsid w:val="00050F5B"/>
    <w:rsid w:val="00057E94"/>
    <w:rsid w:val="000614C8"/>
    <w:rsid w:val="0006501B"/>
    <w:rsid w:val="00073F3A"/>
    <w:rsid w:val="000758A9"/>
    <w:rsid w:val="00075D30"/>
    <w:rsid w:val="00080F8C"/>
    <w:rsid w:val="000932D0"/>
    <w:rsid w:val="000A0AD7"/>
    <w:rsid w:val="000A530F"/>
    <w:rsid w:val="000C2B2A"/>
    <w:rsid w:val="000D76FF"/>
    <w:rsid w:val="000E6D92"/>
    <w:rsid w:val="000F3147"/>
    <w:rsid w:val="000F6AEC"/>
    <w:rsid w:val="00104AB8"/>
    <w:rsid w:val="00105516"/>
    <w:rsid w:val="00106E20"/>
    <w:rsid w:val="00107C64"/>
    <w:rsid w:val="00110FF7"/>
    <w:rsid w:val="00111052"/>
    <w:rsid w:val="0011266F"/>
    <w:rsid w:val="0011778A"/>
    <w:rsid w:val="0012110B"/>
    <w:rsid w:val="00127F23"/>
    <w:rsid w:val="00130D9D"/>
    <w:rsid w:val="00132A6D"/>
    <w:rsid w:val="0013335F"/>
    <w:rsid w:val="00147FFA"/>
    <w:rsid w:val="001521A1"/>
    <w:rsid w:val="0015371A"/>
    <w:rsid w:val="001539CB"/>
    <w:rsid w:val="0015437F"/>
    <w:rsid w:val="00157C73"/>
    <w:rsid w:val="001604FD"/>
    <w:rsid w:val="00160589"/>
    <w:rsid w:val="001617E1"/>
    <w:rsid w:val="001741E4"/>
    <w:rsid w:val="001803A6"/>
    <w:rsid w:val="00181699"/>
    <w:rsid w:val="001955E2"/>
    <w:rsid w:val="00196BE6"/>
    <w:rsid w:val="001A32A3"/>
    <w:rsid w:val="001D08AF"/>
    <w:rsid w:val="001D13F1"/>
    <w:rsid w:val="001E454B"/>
    <w:rsid w:val="001E7C45"/>
    <w:rsid w:val="001F0FF8"/>
    <w:rsid w:val="001F554F"/>
    <w:rsid w:val="001F6988"/>
    <w:rsid w:val="00207E16"/>
    <w:rsid w:val="002100B3"/>
    <w:rsid w:val="0023166A"/>
    <w:rsid w:val="002365E6"/>
    <w:rsid w:val="002555B6"/>
    <w:rsid w:val="00257E93"/>
    <w:rsid w:val="002648A4"/>
    <w:rsid w:val="00281DC3"/>
    <w:rsid w:val="0028423F"/>
    <w:rsid w:val="00290437"/>
    <w:rsid w:val="002958A7"/>
    <w:rsid w:val="00295B9D"/>
    <w:rsid w:val="002960CE"/>
    <w:rsid w:val="002960DA"/>
    <w:rsid w:val="002971B5"/>
    <w:rsid w:val="002B43D3"/>
    <w:rsid w:val="002C0651"/>
    <w:rsid w:val="002D4720"/>
    <w:rsid w:val="002E120E"/>
    <w:rsid w:val="002F4598"/>
    <w:rsid w:val="002F6E96"/>
    <w:rsid w:val="002F7892"/>
    <w:rsid w:val="00305553"/>
    <w:rsid w:val="00305B8A"/>
    <w:rsid w:val="00307E62"/>
    <w:rsid w:val="0031267D"/>
    <w:rsid w:val="00312909"/>
    <w:rsid w:val="0032145B"/>
    <w:rsid w:val="00323C91"/>
    <w:rsid w:val="00336F9B"/>
    <w:rsid w:val="003407C8"/>
    <w:rsid w:val="00347351"/>
    <w:rsid w:val="00347B86"/>
    <w:rsid w:val="003567ED"/>
    <w:rsid w:val="00363A4E"/>
    <w:rsid w:val="00371C5F"/>
    <w:rsid w:val="00372467"/>
    <w:rsid w:val="003742F8"/>
    <w:rsid w:val="00381038"/>
    <w:rsid w:val="00381FD1"/>
    <w:rsid w:val="003918B4"/>
    <w:rsid w:val="00395EC7"/>
    <w:rsid w:val="003A6BC4"/>
    <w:rsid w:val="003B21C6"/>
    <w:rsid w:val="003B3555"/>
    <w:rsid w:val="003C2112"/>
    <w:rsid w:val="003C6CED"/>
    <w:rsid w:val="003D0945"/>
    <w:rsid w:val="003D6597"/>
    <w:rsid w:val="003D7C4A"/>
    <w:rsid w:val="003E0A0C"/>
    <w:rsid w:val="003E3475"/>
    <w:rsid w:val="00402BF9"/>
    <w:rsid w:val="00402DFA"/>
    <w:rsid w:val="00404097"/>
    <w:rsid w:val="0041250C"/>
    <w:rsid w:val="0041681E"/>
    <w:rsid w:val="00416C9D"/>
    <w:rsid w:val="00423EAB"/>
    <w:rsid w:val="00426F42"/>
    <w:rsid w:val="00437F2E"/>
    <w:rsid w:val="00442254"/>
    <w:rsid w:val="00445AEF"/>
    <w:rsid w:val="00450398"/>
    <w:rsid w:val="004551A2"/>
    <w:rsid w:val="00461CE3"/>
    <w:rsid w:val="00467F1A"/>
    <w:rsid w:val="00473D39"/>
    <w:rsid w:val="004800BE"/>
    <w:rsid w:val="0048346F"/>
    <w:rsid w:val="0049419B"/>
    <w:rsid w:val="0049468A"/>
    <w:rsid w:val="004A7040"/>
    <w:rsid w:val="004B5437"/>
    <w:rsid w:val="004B75A0"/>
    <w:rsid w:val="004B78EE"/>
    <w:rsid w:val="004C159B"/>
    <w:rsid w:val="004C7866"/>
    <w:rsid w:val="004D2FB5"/>
    <w:rsid w:val="004D4740"/>
    <w:rsid w:val="004F171D"/>
    <w:rsid w:val="004F2309"/>
    <w:rsid w:val="004F5138"/>
    <w:rsid w:val="00504CFB"/>
    <w:rsid w:val="00506C88"/>
    <w:rsid w:val="0050769F"/>
    <w:rsid w:val="00510D6B"/>
    <w:rsid w:val="005165D3"/>
    <w:rsid w:val="005267D0"/>
    <w:rsid w:val="00526B40"/>
    <w:rsid w:val="00527AE2"/>
    <w:rsid w:val="00530646"/>
    <w:rsid w:val="00533326"/>
    <w:rsid w:val="00537165"/>
    <w:rsid w:val="0054182F"/>
    <w:rsid w:val="00543BBE"/>
    <w:rsid w:val="00547128"/>
    <w:rsid w:val="00566B84"/>
    <w:rsid w:val="00575F9D"/>
    <w:rsid w:val="00583D81"/>
    <w:rsid w:val="00584F02"/>
    <w:rsid w:val="00586BF6"/>
    <w:rsid w:val="00595191"/>
    <w:rsid w:val="005A16C6"/>
    <w:rsid w:val="005A51F1"/>
    <w:rsid w:val="005B115B"/>
    <w:rsid w:val="005B2030"/>
    <w:rsid w:val="005B744F"/>
    <w:rsid w:val="005D49A1"/>
    <w:rsid w:val="005D78F5"/>
    <w:rsid w:val="005D796A"/>
    <w:rsid w:val="005E2B98"/>
    <w:rsid w:val="005F0C7A"/>
    <w:rsid w:val="005F67A9"/>
    <w:rsid w:val="005F6A3C"/>
    <w:rsid w:val="006002E4"/>
    <w:rsid w:val="00604EB5"/>
    <w:rsid w:val="006167C4"/>
    <w:rsid w:val="00627EAF"/>
    <w:rsid w:val="00633AA9"/>
    <w:rsid w:val="00640011"/>
    <w:rsid w:val="006419F2"/>
    <w:rsid w:val="00642113"/>
    <w:rsid w:val="006439F0"/>
    <w:rsid w:val="0064749A"/>
    <w:rsid w:val="00647CC5"/>
    <w:rsid w:val="006550D6"/>
    <w:rsid w:val="00660769"/>
    <w:rsid w:val="00674DF3"/>
    <w:rsid w:val="006768E5"/>
    <w:rsid w:val="00693174"/>
    <w:rsid w:val="006931D9"/>
    <w:rsid w:val="006A3600"/>
    <w:rsid w:val="006A417B"/>
    <w:rsid w:val="006A6D1E"/>
    <w:rsid w:val="006C5C5F"/>
    <w:rsid w:val="006D39BD"/>
    <w:rsid w:val="006D3F80"/>
    <w:rsid w:val="006E64F4"/>
    <w:rsid w:val="006F0A05"/>
    <w:rsid w:val="006F1F50"/>
    <w:rsid w:val="006F3B42"/>
    <w:rsid w:val="006F4E9F"/>
    <w:rsid w:val="006F7394"/>
    <w:rsid w:val="007064EE"/>
    <w:rsid w:val="00710045"/>
    <w:rsid w:val="0071365B"/>
    <w:rsid w:val="00713CC1"/>
    <w:rsid w:val="00723392"/>
    <w:rsid w:val="00727819"/>
    <w:rsid w:val="00732892"/>
    <w:rsid w:val="00732F11"/>
    <w:rsid w:val="00746A97"/>
    <w:rsid w:val="00761AA4"/>
    <w:rsid w:val="00762540"/>
    <w:rsid w:val="00765893"/>
    <w:rsid w:val="0077125E"/>
    <w:rsid w:val="007836DF"/>
    <w:rsid w:val="007936CF"/>
    <w:rsid w:val="00794256"/>
    <w:rsid w:val="00794F93"/>
    <w:rsid w:val="007A09C0"/>
    <w:rsid w:val="007A3702"/>
    <w:rsid w:val="007B1342"/>
    <w:rsid w:val="007D235D"/>
    <w:rsid w:val="007E239F"/>
    <w:rsid w:val="007E38B6"/>
    <w:rsid w:val="007E3FE0"/>
    <w:rsid w:val="007E4AC9"/>
    <w:rsid w:val="007E5D70"/>
    <w:rsid w:val="0080523A"/>
    <w:rsid w:val="00805E43"/>
    <w:rsid w:val="0081149A"/>
    <w:rsid w:val="00814169"/>
    <w:rsid w:val="00815B14"/>
    <w:rsid w:val="00816CC1"/>
    <w:rsid w:val="0082108C"/>
    <w:rsid w:val="00836D22"/>
    <w:rsid w:val="00854A9B"/>
    <w:rsid w:val="008651A4"/>
    <w:rsid w:val="008671A0"/>
    <w:rsid w:val="008765E1"/>
    <w:rsid w:val="00876780"/>
    <w:rsid w:val="00877F37"/>
    <w:rsid w:val="008949A7"/>
    <w:rsid w:val="008965C9"/>
    <w:rsid w:val="008A0F26"/>
    <w:rsid w:val="008B54B4"/>
    <w:rsid w:val="008B6E1D"/>
    <w:rsid w:val="008B7D4F"/>
    <w:rsid w:val="008C09D0"/>
    <w:rsid w:val="008D1321"/>
    <w:rsid w:val="008E589B"/>
    <w:rsid w:val="008F1585"/>
    <w:rsid w:val="009130C0"/>
    <w:rsid w:val="009130DF"/>
    <w:rsid w:val="0092508A"/>
    <w:rsid w:val="00934FAB"/>
    <w:rsid w:val="0093554F"/>
    <w:rsid w:val="0094083F"/>
    <w:rsid w:val="00942E77"/>
    <w:rsid w:val="00952B5A"/>
    <w:rsid w:val="009534D3"/>
    <w:rsid w:val="00964AF2"/>
    <w:rsid w:val="00967EB8"/>
    <w:rsid w:val="00974028"/>
    <w:rsid w:val="009759BA"/>
    <w:rsid w:val="009778AA"/>
    <w:rsid w:val="0098474B"/>
    <w:rsid w:val="009879D4"/>
    <w:rsid w:val="009900A9"/>
    <w:rsid w:val="00994FB6"/>
    <w:rsid w:val="009A0037"/>
    <w:rsid w:val="009C191C"/>
    <w:rsid w:val="009C1BD9"/>
    <w:rsid w:val="009F4984"/>
    <w:rsid w:val="00A143ED"/>
    <w:rsid w:val="00A17514"/>
    <w:rsid w:val="00A23059"/>
    <w:rsid w:val="00A243BA"/>
    <w:rsid w:val="00A31D90"/>
    <w:rsid w:val="00A405DD"/>
    <w:rsid w:val="00A40A2F"/>
    <w:rsid w:val="00A5237B"/>
    <w:rsid w:val="00A54E5A"/>
    <w:rsid w:val="00A72597"/>
    <w:rsid w:val="00A8777E"/>
    <w:rsid w:val="00A92945"/>
    <w:rsid w:val="00A9740D"/>
    <w:rsid w:val="00A97DC3"/>
    <w:rsid w:val="00AB58CC"/>
    <w:rsid w:val="00AC5A12"/>
    <w:rsid w:val="00AE25A3"/>
    <w:rsid w:val="00B35964"/>
    <w:rsid w:val="00B400E0"/>
    <w:rsid w:val="00B447FB"/>
    <w:rsid w:val="00B45B6A"/>
    <w:rsid w:val="00B460C1"/>
    <w:rsid w:val="00B54A6A"/>
    <w:rsid w:val="00B5659B"/>
    <w:rsid w:val="00B73BF1"/>
    <w:rsid w:val="00B809B8"/>
    <w:rsid w:val="00B80BBD"/>
    <w:rsid w:val="00B8376F"/>
    <w:rsid w:val="00BA2294"/>
    <w:rsid w:val="00BA5074"/>
    <w:rsid w:val="00BB2837"/>
    <w:rsid w:val="00BB4443"/>
    <w:rsid w:val="00BC177E"/>
    <w:rsid w:val="00BC3E16"/>
    <w:rsid w:val="00BD1305"/>
    <w:rsid w:val="00BD1DB0"/>
    <w:rsid w:val="00BD71A3"/>
    <w:rsid w:val="00BE42CD"/>
    <w:rsid w:val="00BF1FD0"/>
    <w:rsid w:val="00BF4B88"/>
    <w:rsid w:val="00BF7997"/>
    <w:rsid w:val="00C13DF6"/>
    <w:rsid w:val="00C2426D"/>
    <w:rsid w:val="00C24A1B"/>
    <w:rsid w:val="00C262DD"/>
    <w:rsid w:val="00C356A3"/>
    <w:rsid w:val="00C56682"/>
    <w:rsid w:val="00C6002A"/>
    <w:rsid w:val="00C6411F"/>
    <w:rsid w:val="00C65A5D"/>
    <w:rsid w:val="00C75971"/>
    <w:rsid w:val="00C90F70"/>
    <w:rsid w:val="00C95A39"/>
    <w:rsid w:val="00C960C7"/>
    <w:rsid w:val="00CC69F1"/>
    <w:rsid w:val="00CD5DD8"/>
    <w:rsid w:val="00CE064B"/>
    <w:rsid w:val="00CF0E56"/>
    <w:rsid w:val="00CF297F"/>
    <w:rsid w:val="00D01D05"/>
    <w:rsid w:val="00D01E10"/>
    <w:rsid w:val="00D14883"/>
    <w:rsid w:val="00D2089A"/>
    <w:rsid w:val="00D32726"/>
    <w:rsid w:val="00D3305C"/>
    <w:rsid w:val="00D43965"/>
    <w:rsid w:val="00D46FBB"/>
    <w:rsid w:val="00D55093"/>
    <w:rsid w:val="00D55DD5"/>
    <w:rsid w:val="00D72733"/>
    <w:rsid w:val="00D921EE"/>
    <w:rsid w:val="00D95BC1"/>
    <w:rsid w:val="00D9614D"/>
    <w:rsid w:val="00D97E77"/>
    <w:rsid w:val="00DA5B04"/>
    <w:rsid w:val="00DB0F11"/>
    <w:rsid w:val="00DB2242"/>
    <w:rsid w:val="00DB7EFD"/>
    <w:rsid w:val="00DC0684"/>
    <w:rsid w:val="00DC522E"/>
    <w:rsid w:val="00DD5C33"/>
    <w:rsid w:val="00DD5D1A"/>
    <w:rsid w:val="00DD61D3"/>
    <w:rsid w:val="00DF0B16"/>
    <w:rsid w:val="00DF2CCB"/>
    <w:rsid w:val="00DF5639"/>
    <w:rsid w:val="00E02564"/>
    <w:rsid w:val="00E071B9"/>
    <w:rsid w:val="00E22093"/>
    <w:rsid w:val="00E4387B"/>
    <w:rsid w:val="00E528ED"/>
    <w:rsid w:val="00E60A39"/>
    <w:rsid w:val="00E61198"/>
    <w:rsid w:val="00E62078"/>
    <w:rsid w:val="00E67517"/>
    <w:rsid w:val="00E7000E"/>
    <w:rsid w:val="00E739D5"/>
    <w:rsid w:val="00E81E2B"/>
    <w:rsid w:val="00E9082A"/>
    <w:rsid w:val="00E97095"/>
    <w:rsid w:val="00E9725A"/>
    <w:rsid w:val="00EA0C43"/>
    <w:rsid w:val="00EA28CC"/>
    <w:rsid w:val="00EC19B5"/>
    <w:rsid w:val="00ED663C"/>
    <w:rsid w:val="00EE179B"/>
    <w:rsid w:val="00F045B9"/>
    <w:rsid w:val="00F07462"/>
    <w:rsid w:val="00F12D79"/>
    <w:rsid w:val="00F16EF3"/>
    <w:rsid w:val="00F2505E"/>
    <w:rsid w:val="00F25EC2"/>
    <w:rsid w:val="00F30529"/>
    <w:rsid w:val="00F32C8D"/>
    <w:rsid w:val="00F40CC8"/>
    <w:rsid w:val="00F4591E"/>
    <w:rsid w:val="00F60573"/>
    <w:rsid w:val="00F65A28"/>
    <w:rsid w:val="00F6674F"/>
    <w:rsid w:val="00F66E75"/>
    <w:rsid w:val="00F7054C"/>
    <w:rsid w:val="00F71676"/>
    <w:rsid w:val="00F75FC8"/>
    <w:rsid w:val="00F775A1"/>
    <w:rsid w:val="00F775F7"/>
    <w:rsid w:val="00F81C10"/>
    <w:rsid w:val="00F833DA"/>
    <w:rsid w:val="00F870DB"/>
    <w:rsid w:val="00F94C4C"/>
    <w:rsid w:val="00F9642F"/>
    <w:rsid w:val="00F96619"/>
    <w:rsid w:val="00F970C6"/>
    <w:rsid w:val="00FA1D1B"/>
    <w:rsid w:val="00FA2F7D"/>
    <w:rsid w:val="00FA7B99"/>
    <w:rsid w:val="00FC071F"/>
    <w:rsid w:val="00FC3D06"/>
    <w:rsid w:val="00FD13F7"/>
    <w:rsid w:val="00FD2E0C"/>
    <w:rsid w:val="00FE40B8"/>
    <w:rsid w:val="00FE4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092E82"/>
  <w14:defaultImageDpi w14:val="300"/>
  <w15:docId w15:val="{6D1DB515-B109-4B10-AE3D-7799C610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AU"/>
    </w:rPr>
  </w:style>
  <w:style w:type="paragraph" w:styleId="Heading1">
    <w:name w:val="heading 1"/>
    <w:basedOn w:val="Normal"/>
    <w:next w:val="Normal"/>
    <w:link w:val="Heading1Char"/>
    <w:uiPriority w:val="9"/>
    <w:qFormat/>
    <w:rsid w:val="0041250C"/>
    <w:pPr>
      <w:pBdr>
        <w:bottom w:val="single" w:sz="24" w:space="15" w:color="D9D9D9" w:themeColor="background1" w:themeShade="D9"/>
      </w:pBdr>
      <w:spacing w:after="300"/>
      <w:outlineLvl w:val="0"/>
    </w:pPr>
    <w:rPr>
      <w:rFonts w:ascii="Calibri Light" w:hAnsi="Calibri Light"/>
      <w:color w:val="7F7F7F" w:themeColor="text1" w:themeTint="80"/>
      <w:sz w:val="48"/>
      <w:szCs w:val="48"/>
    </w:rPr>
  </w:style>
  <w:style w:type="paragraph" w:styleId="Heading2">
    <w:name w:val="heading 2"/>
    <w:basedOn w:val="TasCOSSSubhead1"/>
    <w:next w:val="Normal"/>
    <w:link w:val="Heading2Char"/>
    <w:uiPriority w:val="9"/>
    <w:unhideWhenUsed/>
    <w:qFormat/>
    <w:rsid w:val="0041250C"/>
    <w:pPr>
      <w:outlineLvl w:val="1"/>
    </w:pPr>
  </w:style>
  <w:style w:type="paragraph" w:styleId="Heading3">
    <w:name w:val="heading 3"/>
    <w:basedOn w:val="TasCOSSSubhead3"/>
    <w:next w:val="Normal"/>
    <w:link w:val="Heading3Char"/>
    <w:uiPriority w:val="9"/>
    <w:unhideWhenUsed/>
    <w:qFormat/>
    <w:rsid w:val="0041250C"/>
    <w:pPr>
      <w:outlineLvl w:val="2"/>
    </w:pPr>
  </w:style>
  <w:style w:type="paragraph" w:styleId="Heading4">
    <w:name w:val="heading 4"/>
    <w:basedOn w:val="TasCOSSSubhead3"/>
    <w:next w:val="Normal"/>
    <w:link w:val="Heading4Char"/>
    <w:uiPriority w:val="9"/>
    <w:unhideWhenUsed/>
    <w:qFormat/>
    <w:rsid w:val="0041250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COSSCoverTitle">
    <w:name w:val="TasCOSS Cover Title"/>
    <w:basedOn w:val="Normal"/>
    <w:qFormat/>
    <w:rsid w:val="004B75A0"/>
    <w:pPr>
      <w:spacing w:line="720" w:lineRule="exact"/>
    </w:pPr>
    <w:rPr>
      <w:rFonts w:ascii="Calibri" w:hAnsi="Calibri"/>
      <w:color w:val="FFFFFF" w:themeColor="background1"/>
      <w:sz w:val="72"/>
      <w:szCs w:val="72"/>
    </w:rPr>
  </w:style>
  <w:style w:type="paragraph" w:styleId="FootnoteText">
    <w:name w:val="footnote text"/>
    <w:basedOn w:val="Normal"/>
    <w:link w:val="FootnoteTextChar"/>
    <w:uiPriority w:val="99"/>
    <w:unhideWhenUsed/>
    <w:rsid w:val="00DB2242"/>
    <w:rPr>
      <w:rFonts w:ascii="Calibri" w:hAnsi="Calibri"/>
      <w:color w:val="505150"/>
      <w:sz w:val="18"/>
    </w:rPr>
  </w:style>
  <w:style w:type="paragraph" w:customStyle="1" w:styleId="Pageheading">
    <w:name w:val="Page heading"/>
    <w:basedOn w:val="Normal"/>
    <w:qFormat/>
    <w:rsid w:val="00AC5A12"/>
    <w:pPr>
      <w:pBdr>
        <w:bottom w:val="single" w:sz="24" w:space="15" w:color="D9D9D9" w:themeColor="background1" w:themeShade="D9"/>
      </w:pBdr>
      <w:spacing w:after="300" w:line="300" w:lineRule="exact"/>
    </w:pPr>
    <w:rPr>
      <w:rFonts w:ascii="Calibri Light" w:hAnsi="Calibri Light"/>
      <w:color w:val="7F7F7F" w:themeColor="text1" w:themeTint="80"/>
      <w:sz w:val="48"/>
      <w:szCs w:val="48"/>
    </w:rPr>
  </w:style>
  <w:style w:type="character" w:customStyle="1" w:styleId="FootnoteTextChar">
    <w:name w:val="Footnote Text Char"/>
    <w:basedOn w:val="DefaultParagraphFont"/>
    <w:link w:val="FootnoteText"/>
    <w:uiPriority w:val="99"/>
    <w:rsid w:val="00DB2242"/>
    <w:rPr>
      <w:rFonts w:ascii="Calibri" w:hAnsi="Calibri"/>
      <w:color w:val="505150"/>
      <w:sz w:val="18"/>
    </w:rPr>
  </w:style>
  <w:style w:type="character" w:styleId="FootnoteReference">
    <w:name w:val="footnote reference"/>
    <w:basedOn w:val="DefaultParagraphFont"/>
    <w:uiPriority w:val="99"/>
    <w:unhideWhenUsed/>
    <w:rsid w:val="002365E6"/>
    <w:rPr>
      <w:rFonts w:ascii="Calibri" w:hAnsi="Calibri"/>
      <w:b w:val="0"/>
      <w:i w:val="0"/>
      <w:vertAlign w:val="superscript"/>
    </w:rPr>
  </w:style>
  <w:style w:type="character" w:styleId="SubtleReference">
    <w:name w:val="Subtle Reference"/>
    <w:basedOn w:val="DefaultParagraphFont"/>
    <w:uiPriority w:val="31"/>
    <w:qFormat/>
    <w:rsid w:val="002365E6"/>
    <w:rPr>
      <w:smallCaps/>
      <w:color w:val="C0504D" w:themeColor="accent2"/>
      <w:u w:val="single"/>
    </w:rPr>
  </w:style>
  <w:style w:type="paragraph" w:customStyle="1" w:styleId="TasCOSSSubhead1">
    <w:name w:val="TasCOSS Subhead 1"/>
    <w:autoRedefine/>
    <w:qFormat/>
    <w:rsid w:val="006D39BD"/>
    <w:pPr>
      <w:spacing w:line="300" w:lineRule="exact"/>
    </w:pPr>
    <w:rPr>
      <w:rFonts w:ascii="Calibri" w:hAnsi="Calibri"/>
      <w:b/>
      <w:color w:val="EEA420"/>
      <w:sz w:val="28"/>
      <w:szCs w:val="28"/>
    </w:rPr>
  </w:style>
  <w:style w:type="paragraph" w:customStyle="1" w:styleId="TasCOSSBodyCopy">
    <w:name w:val="TasCOSS Body Copy"/>
    <w:qFormat/>
    <w:rsid w:val="00F870DB"/>
    <w:pPr>
      <w:spacing w:line="300" w:lineRule="exact"/>
    </w:pPr>
    <w:rPr>
      <w:rFonts w:ascii="Calibri" w:hAnsi="Calibri"/>
      <w:sz w:val="22"/>
      <w:szCs w:val="22"/>
      <w:lang w:val="en-AU"/>
    </w:rPr>
  </w:style>
  <w:style w:type="paragraph" w:customStyle="1" w:styleId="TasCOSSSubhead2">
    <w:name w:val="TasCOSS Subhead 2"/>
    <w:qFormat/>
    <w:rsid w:val="003567ED"/>
    <w:pPr>
      <w:spacing w:line="300" w:lineRule="exact"/>
    </w:pPr>
    <w:rPr>
      <w:rFonts w:ascii="Calibri" w:hAnsi="Calibri"/>
      <w:b/>
      <w:color w:val="EEA420"/>
      <w:sz w:val="22"/>
      <w:szCs w:val="22"/>
    </w:rPr>
  </w:style>
  <w:style w:type="paragraph" w:customStyle="1" w:styleId="TasCOSSSubhead3">
    <w:name w:val="TasCOSS Subhead 3"/>
    <w:next w:val="TasCOSSBodyCopy"/>
    <w:qFormat/>
    <w:rsid w:val="003567ED"/>
    <w:pPr>
      <w:spacing w:line="300" w:lineRule="exact"/>
    </w:pPr>
    <w:rPr>
      <w:rFonts w:ascii="Calibri" w:hAnsi="Calibri"/>
      <w:i/>
      <w:color w:val="EEA420"/>
      <w:sz w:val="22"/>
      <w:szCs w:val="22"/>
    </w:rPr>
  </w:style>
  <w:style w:type="paragraph" w:styleId="EndnoteText">
    <w:name w:val="endnote text"/>
    <w:basedOn w:val="Normal"/>
    <w:link w:val="EndnoteTextChar"/>
    <w:uiPriority w:val="99"/>
    <w:semiHidden/>
    <w:unhideWhenUsed/>
    <w:rsid w:val="00994FB6"/>
    <w:rPr>
      <w:rFonts w:ascii="Calibri" w:hAnsi="Calibri"/>
      <w:sz w:val="18"/>
    </w:rPr>
  </w:style>
  <w:style w:type="character" w:customStyle="1" w:styleId="EndnoteTextChar">
    <w:name w:val="Endnote Text Char"/>
    <w:basedOn w:val="DefaultParagraphFont"/>
    <w:link w:val="EndnoteText"/>
    <w:uiPriority w:val="99"/>
    <w:semiHidden/>
    <w:rsid w:val="00994FB6"/>
    <w:rPr>
      <w:rFonts w:ascii="Calibri" w:hAnsi="Calibri"/>
      <w:sz w:val="18"/>
    </w:rPr>
  </w:style>
  <w:style w:type="paragraph" w:customStyle="1" w:styleId="TasCOSSPullQuote1">
    <w:name w:val="TasCOSS Pull Quote 1"/>
    <w:basedOn w:val="TasCOSSBodyCopy"/>
    <w:qFormat/>
    <w:rsid w:val="00FD2E0C"/>
    <w:pPr>
      <w:shd w:val="clear" w:color="auto" w:fill="E6E6E6"/>
      <w:spacing w:line="400" w:lineRule="exact"/>
      <w:ind w:left="284" w:right="284"/>
    </w:pPr>
    <w:rPr>
      <w:rFonts w:ascii="Calibri Light" w:hAnsi="Calibri Light"/>
      <w:color w:val="505150"/>
      <w:sz w:val="28"/>
      <w:szCs w:val="28"/>
    </w:rPr>
  </w:style>
  <w:style w:type="paragraph" w:customStyle="1" w:styleId="TasCOSSPullQuote2">
    <w:name w:val="TasCOSS Pull Quote 2"/>
    <w:basedOn w:val="TasCOSSBodyCopy"/>
    <w:qFormat/>
    <w:rsid w:val="003567ED"/>
    <w:pPr>
      <w:spacing w:line="400" w:lineRule="exact"/>
      <w:ind w:left="284" w:right="284"/>
    </w:pPr>
    <w:rPr>
      <w:rFonts w:ascii="Calibri Light" w:hAnsi="Calibri Light"/>
      <w:color w:val="EEA420"/>
      <w:sz w:val="28"/>
      <w:szCs w:val="28"/>
    </w:rPr>
  </w:style>
  <w:style w:type="paragraph" w:styleId="BalloonText">
    <w:name w:val="Balloon Text"/>
    <w:basedOn w:val="Normal"/>
    <w:link w:val="BalloonTextChar"/>
    <w:uiPriority w:val="99"/>
    <w:semiHidden/>
    <w:unhideWhenUsed/>
    <w:rsid w:val="00674DF3"/>
    <w:rPr>
      <w:rFonts w:ascii="Lucida Grande" w:hAnsi="Lucida Grande" w:cs="Lucida Grande"/>
      <w:sz w:val="18"/>
      <w:szCs w:val="18"/>
    </w:rPr>
  </w:style>
  <w:style w:type="character" w:styleId="EndnoteReference">
    <w:name w:val="endnote reference"/>
    <w:basedOn w:val="DefaultParagraphFont"/>
    <w:uiPriority w:val="99"/>
    <w:semiHidden/>
    <w:unhideWhenUsed/>
    <w:rsid w:val="002365E6"/>
    <w:rPr>
      <w:rFonts w:ascii="Calibri" w:hAnsi="Calibri"/>
      <w:b w:val="0"/>
      <w:i w:val="0"/>
      <w:vertAlign w:val="superscript"/>
    </w:rPr>
  </w:style>
  <w:style w:type="paragraph" w:customStyle="1" w:styleId="TasCOSSGraphTitle">
    <w:name w:val="TasCOSS Graph Title"/>
    <w:basedOn w:val="TasCOSSSubhead1"/>
    <w:next w:val="TasCOSSBodyCopy"/>
    <w:qFormat/>
    <w:rsid w:val="00674DF3"/>
    <w:pPr>
      <w:ind w:left="284" w:right="284"/>
    </w:pPr>
  </w:style>
  <w:style w:type="character" w:customStyle="1" w:styleId="BalloonTextChar">
    <w:name w:val="Balloon Text Char"/>
    <w:basedOn w:val="DefaultParagraphFont"/>
    <w:link w:val="BalloonText"/>
    <w:uiPriority w:val="99"/>
    <w:semiHidden/>
    <w:rsid w:val="00674DF3"/>
    <w:rPr>
      <w:rFonts w:ascii="Lucida Grande" w:hAnsi="Lucida Grande" w:cs="Lucida Grande"/>
      <w:sz w:val="18"/>
      <w:szCs w:val="18"/>
    </w:rPr>
  </w:style>
  <w:style w:type="paragraph" w:styleId="Header">
    <w:name w:val="header"/>
    <w:basedOn w:val="Normal"/>
    <w:link w:val="HeaderChar"/>
    <w:uiPriority w:val="99"/>
    <w:unhideWhenUsed/>
    <w:rsid w:val="00854A9B"/>
    <w:pPr>
      <w:tabs>
        <w:tab w:val="center" w:pos="4320"/>
        <w:tab w:val="right" w:pos="8640"/>
      </w:tabs>
    </w:pPr>
  </w:style>
  <w:style w:type="character" w:customStyle="1" w:styleId="HeaderChar">
    <w:name w:val="Header Char"/>
    <w:basedOn w:val="DefaultParagraphFont"/>
    <w:link w:val="Header"/>
    <w:uiPriority w:val="99"/>
    <w:rsid w:val="00854A9B"/>
  </w:style>
  <w:style w:type="paragraph" w:styleId="Footer">
    <w:name w:val="footer"/>
    <w:basedOn w:val="Normal"/>
    <w:link w:val="FooterChar"/>
    <w:uiPriority w:val="99"/>
    <w:unhideWhenUsed/>
    <w:rsid w:val="00854A9B"/>
    <w:pPr>
      <w:tabs>
        <w:tab w:val="center" w:pos="4320"/>
        <w:tab w:val="right" w:pos="8640"/>
      </w:tabs>
    </w:pPr>
  </w:style>
  <w:style w:type="character" w:customStyle="1" w:styleId="FooterChar">
    <w:name w:val="Footer Char"/>
    <w:basedOn w:val="DefaultParagraphFont"/>
    <w:link w:val="Footer"/>
    <w:uiPriority w:val="99"/>
    <w:rsid w:val="00854A9B"/>
  </w:style>
  <w:style w:type="character" w:customStyle="1" w:styleId="Heading1Char">
    <w:name w:val="Heading 1 Char"/>
    <w:basedOn w:val="DefaultParagraphFont"/>
    <w:link w:val="Heading1"/>
    <w:uiPriority w:val="9"/>
    <w:rsid w:val="0041250C"/>
    <w:rPr>
      <w:rFonts w:ascii="Calibri Light" w:hAnsi="Calibri Light"/>
      <w:color w:val="7F7F7F" w:themeColor="text1" w:themeTint="80"/>
      <w:sz w:val="48"/>
      <w:szCs w:val="48"/>
    </w:rPr>
  </w:style>
  <w:style w:type="character" w:customStyle="1" w:styleId="Heading2Char">
    <w:name w:val="Heading 2 Char"/>
    <w:basedOn w:val="DefaultParagraphFont"/>
    <w:link w:val="Heading2"/>
    <w:uiPriority w:val="9"/>
    <w:rsid w:val="0041250C"/>
    <w:rPr>
      <w:rFonts w:ascii="Calibri" w:hAnsi="Calibri"/>
      <w:b/>
      <w:color w:val="EEA420"/>
      <w:sz w:val="28"/>
      <w:szCs w:val="28"/>
    </w:rPr>
  </w:style>
  <w:style w:type="character" w:customStyle="1" w:styleId="Heading3Char">
    <w:name w:val="Heading 3 Char"/>
    <w:basedOn w:val="DefaultParagraphFont"/>
    <w:link w:val="Heading3"/>
    <w:uiPriority w:val="9"/>
    <w:rsid w:val="0041250C"/>
    <w:rPr>
      <w:rFonts w:ascii="Calibri" w:hAnsi="Calibri"/>
      <w:i/>
      <w:color w:val="EEA420"/>
      <w:sz w:val="22"/>
      <w:szCs w:val="22"/>
    </w:rPr>
  </w:style>
  <w:style w:type="character" w:customStyle="1" w:styleId="Heading4Char">
    <w:name w:val="Heading 4 Char"/>
    <w:basedOn w:val="DefaultParagraphFont"/>
    <w:link w:val="Heading4"/>
    <w:uiPriority w:val="9"/>
    <w:rsid w:val="0041250C"/>
    <w:rPr>
      <w:rFonts w:ascii="Calibri" w:hAnsi="Calibri"/>
      <w:i/>
      <w:color w:val="EEA420"/>
      <w:sz w:val="22"/>
      <w:szCs w:val="22"/>
    </w:rPr>
  </w:style>
  <w:style w:type="character" w:styleId="Hyperlink">
    <w:name w:val="Hyperlink"/>
    <w:basedOn w:val="DefaultParagraphFont"/>
    <w:uiPriority w:val="99"/>
    <w:unhideWhenUsed/>
    <w:rsid w:val="00E22093"/>
    <w:rPr>
      <w:color w:val="0000FF" w:themeColor="hyperlink"/>
      <w:u w:val="single"/>
    </w:rPr>
  </w:style>
  <w:style w:type="paragraph" w:styleId="ListParagraph">
    <w:name w:val="List Paragraph"/>
    <w:aliases w:val="Dot"/>
    <w:basedOn w:val="Normal"/>
    <w:link w:val="ListParagraphChar"/>
    <w:uiPriority w:val="34"/>
    <w:qFormat/>
    <w:rsid w:val="00E22093"/>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A92945"/>
    <w:rPr>
      <w:sz w:val="16"/>
      <w:szCs w:val="16"/>
    </w:rPr>
  </w:style>
  <w:style w:type="paragraph" w:styleId="CommentText">
    <w:name w:val="annotation text"/>
    <w:basedOn w:val="Normal"/>
    <w:link w:val="CommentTextChar"/>
    <w:uiPriority w:val="99"/>
    <w:semiHidden/>
    <w:unhideWhenUsed/>
    <w:rsid w:val="00A92945"/>
    <w:rPr>
      <w:sz w:val="20"/>
      <w:szCs w:val="20"/>
      <w:lang w:val="en-US"/>
    </w:rPr>
  </w:style>
  <w:style w:type="character" w:customStyle="1" w:styleId="CommentTextChar">
    <w:name w:val="Comment Text Char"/>
    <w:basedOn w:val="DefaultParagraphFont"/>
    <w:link w:val="CommentText"/>
    <w:uiPriority w:val="99"/>
    <w:semiHidden/>
    <w:rsid w:val="00A92945"/>
    <w:rPr>
      <w:sz w:val="20"/>
      <w:szCs w:val="20"/>
    </w:rPr>
  </w:style>
  <w:style w:type="paragraph" w:styleId="NoSpacing">
    <w:name w:val="No Spacing"/>
    <w:uiPriority w:val="1"/>
    <w:qFormat/>
    <w:rsid w:val="00104AB8"/>
    <w:rPr>
      <w:rFonts w:eastAsiaTheme="minorHAnsi"/>
      <w:sz w:val="22"/>
      <w:szCs w:val="22"/>
      <w:lang w:val="en-AU"/>
    </w:rPr>
  </w:style>
  <w:style w:type="character" w:styleId="FollowedHyperlink">
    <w:name w:val="FollowedHyperlink"/>
    <w:basedOn w:val="DefaultParagraphFont"/>
    <w:uiPriority w:val="99"/>
    <w:semiHidden/>
    <w:unhideWhenUsed/>
    <w:rsid w:val="00104AB8"/>
    <w:rPr>
      <w:color w:val="800080" w:themeColor="followedHyperlink"/>
      <w:u w:val="single"/>
    </w:rPr>
  </w:style>
  <w:style w:type="character" w:styleId="UnresolvedMention">
    <w:name w:val="Unresolved Mention"/>
    <w:basedOn w:val="DefaultParagraphFont"/>
    <w:uiPriority w:val="99"/>
    <w:semiHidden/>
    <w:unhideWhenUsed/>
    <w:rsid w:val="00533326"/>
    <w:rPr>
      <w:color w:val="605E5C"/>
      <w:shd w:val="clear" w:color="auto" w:fill="E1DFDD"/>
    </w:rPr>
  </w:style>
  <w:style w:type="character" w:customStyle="1" w:styleId="ListParagraphChar">
    <w:name w:val="List Paragraph Char"/>
    <w:aliases w:val="Dot Char"/>
    <w:link w:val="ListParagraph"/>
    <w:uiPriority w:val="34"/>
    <w:locked/>
    <w:rsid w:val="006002E4"/>
    <w:rPr>
      <w:rFonts w:eastAsiaTheme="minorHAnsi"/>
      <w:sz w:val="22"/>
      <w:szCs w:val="22"/>
      <w:lang w:val="en-AU"/>
    </w:rPr>
  </w:style>
  <w:style w:type="paragraph" w:customStyle="1" w:styleId="Default">
    <w:name w:val="Default"/>
    <w:rsid w:val="00C13DF6"/>
    <w:pPr>
      <w:autoSpaceDE w:val="0"/>
      <w:autoSpaceDN w:val="0"/>
      <w:adjustRightInd w:val="0"/>
    </w:pPr>
    <w:rPr>
      <w:rFonts w:ascii="Calibri" w:eastAsiaTheme="minorHAnsi" w:hAnsi="Calibri" w:cs="Calibri"/>
      <w:color w:val="000000"/>
      <w:lang w:val="en-AU"/>
      <w14:ligatures w14:val="standardContextual"/>
    </w:rPr>
  </w:style>
  <w:style w:type="paragraph" w:styleId="Revision">
    <w:name w:val="Revision"/>
    <w:hidden/>
    <w:uiPriority w:val="99"/>
    <w:semiHidden/>
    <w:rsid w:val="000A530F"/>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11968">
      <w:bodyDiv w:val="1"/>
      <w:marLeft w:val="0"/>
      <w:marRight w:val="0"/>
      <w:marTop w:val="0"/>
      <w:marBottom w:val="0"/>
      <w:divBdr>
        <w:top w:val="none" w:sz="0" w:space="0" w:color="auto"/>
        <w:left w:val="none" w:sz="0" w:space="0" w:color="auto"/>
        <w:bottom w:val="none" w:sz="0" w:space="0" w:color="auto"/>
        <w:right w:val="none" w:sz="0" w:space="0" w:color="auto"/>
      </w:divBdr>
    </w:div>
    <w:div w:id="1222330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yoursay.sa.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mtedd.act.gov.au/open_government"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rienne@tascoss.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gov.au/rights-and-protections/human-rights-and-anti-discrimination/human-rights-scrutiny/statements-compati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182365AAFBAC48BB82C5E0D04A25AF" ma:contentTypeVersion="24" ma:contentTypeDescription="Create a new document." ma:contentTypeScope="" ma:versionID="b6cc397171615db584554adc3862822a">
  <xsd:schema xmlns:xsd="http://www.w3.org/2001/XMLSchema" xmlns:xs="http://www.w3.org/2001/XMLSchema" xmlns:p="http://schemas.microsoft.com/office/2006/metadata/properties" xmlns:ns2="c9a2659a-14e4-4d4b-8493-8916af50de6d" xmlns:ns3="e729a1ec-a59f-401c-85f7-1e16ba04e6cb" targetNamespace="http://schemas.microsoft.com/office/2006/metadata/properties" ma:root="true" ma:fieldsID="7481498fe149a65b41c37bb597cd31e5" ns2:_="" ns3:_="">
    <xsd:import namespace="c9a2659a-14e4-4d4b-8493-8916af50de6d"/>
    <xsd:import namespace="e729a1ec-a59f-401c-85f7-1e16ba0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Category" minOccurs="0"/>
                <xsd:element ref="ns2:lcf76f155ced4ddcb4097134ff3c332f" minOccurs="0"/>
                <xsd:element ref="ns3:TaxCatchAll" minOccurs="0"/>
                <xsd:element ref="ns2:MediaServiceObjectDetectorVersions" minOccurs="0"/>
                <xsd:element ref="ns2:Sort" minOccurs="0"/>
                <xsd:element ref="ns2:DueDate" minOccurs="0"/>
                <xsd:element ref="ns2:Sub_x002d_Category"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2659a-14e4-4d4b-8493-8916af50d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Category" ma:index="21" nillable="true" ma:displayName="Pillar" ma:format="Dropdown" ma:internalName="Category">
      <xsd:complexType>
        <xsd:complexContent>
          <xsd:extension base="dms:MultiChoice">
            <xsd:sequence>
              <xsd:element name="Value" maxOccurs="unbounded" minOccurs="0" nillable="true">
                <xsd:simpleType>
                  <xsd:restriction base="dms:Choice">
                    <xsd:enumeration value="Healthy Workplace"/>
                    <xsd:enumeration value="Collaborative Approach"/>
                    <xsd:enumeration value="Quality Practices"/>
                    <xsd:enumeration value="Organisational Culture"/>
                    <xsd:enumeration value="Efficient and Contemporary"/>
                    <xsd:enumeration value="Governance"/>
                    <xsd:enumeration value="Staff Induction"/>
                  </xsd:restriction>
                </xsd:simple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5084384-47e9-4aab-a5b2-1f40211293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Sort" ma:index="26" nillable="true" ma:displayName="Sort" ma:format="Dropdown" ma:internalName="Sort">
      <xsd:simpleType>
        <xsd:restriction base="dms:Choice">
          <xsd:enumeration value="Policy"/>
          <xsd:enumeration value="Guideline"/>
          <xsd:enumeration value="Form"/>
          <xsd:enumeration value="Procedure"/>
        </xsd:restriction>
      </xsd:simpleType>
    </xsd:element>
    <xsd:element name="DueDate" ma:index="27" nillable="true" ma:displayName="Due Date" ma:format="DateOnly" ma:internalName="DueDate">
      <xsd:simpleType>
        <xsd:restriction base="dms:DateTime"/>
      </xsd:simpleType>
    </xsd:element>
    <xsd:element name="Sub_x002d_Category" ma:index="28" nillable="true" ma:displayName="Sub-Category" ma:format="Dropdown" ma:internalName="Sub_x002d_Category">
      <xsd:complexType>
        <xsd:complexContent>
          <xsd:extension base="dms:MultiChoice">
            <xsd:sequence>
              <xsd:element name="Value" maxOccurs="unbounded" minOccurs="0" nillable="true">
                <xsd:simpleType>
                  <xsd:restriction base="dms:Choice">
                    <xsd:enumeration value="Conditions"/>
                    <xsd:enumeration value="HR"/>
                    <xsd:enumeration value="Inclusive"/>
                    <xsd:enumeration value="Performance"/>
                    <xsd:enumeration value="Risk"/>
                    <xsd:enumeration value="Induction"/>
                  </xsd:restriction>
                </xsd:simpleType>
              </xsd:element>
            </xsd:sequence>
          </xsd:extension>
        </xsd:complexContent>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29a1ec-a59f-401c-85f7-1e16ba04e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9bfc513-55ce-4d09-9754-929bc1cee030}" ma:internalName="TaxCatchAll" ma:showField="CatchAllData" ma:web="e729a1ec-a59f-401c-85f7-1e16ba04e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c9a2659a-14e4-4d4b-8493-8916af50de6d" xsi:nil="true"/>
    <lcf76f155ced4ddcb4097134ff3c332f xmlns="c9a2659a-14e4-4d4b-8493-8916af50de6d">
      <Terms xmlns="http://schemas.microsoft.com/office/infopath/2007/PartnerControls"/>
    </lcf76f155ced4ddcb4097134ff3c332f>
    <TaxCatchAll xmlns="e729a1ec-a59f-401c-85f7-1e16ba04e6cb" xsi:nil="true"/>
    <DueDate xmlns="c9a2659a-14e4-4d4b-8493-8916af50de6d" xsi:nil="true"/>
    <Sub_x002d_Category xmlns="c9a2659a-14e4-4d4b-8493-8916af50de6d" xsi:nil="true"/>
    <Sort xmlns="c9a2659a-14e4-4d4b-8493-8916af50de6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B9468-6047-4D41-98BB-F6211D8D65B8}">
  <ds:schemaRefs>
    <ds:schemaRef ds:uri="http://schemas.openxmlformats.org/officeDocument/2006/bibliography"/>
  </ds:schemaRefs>
</ds:datastoreItem>
</file>

<file path=customXml/itemProps2.xml><?xml version="1.0" encoding="utf-8"?>
<ds:datastoreItem xmlns:ds="http://schemas.openxmlformats.org/officeDocument/2006/customXml" ds:itemID="{7DB85053-614C-4BC9-B436-FAC66A4E7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2659a-14e4-4d4b-8493-8916af50de6d"/>
    <ds:schemaRef ds:uri="e729a1ec-a59f-401c-85f7-1e16ba04e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4DAB7-EEDA-4B7D-925B-C98717E2F239}">
  <ds:schemaRefs>
    <ds:schemaRef ds:uri="http://schemas.microsoft.com/office/2006/metadata/properties"/>
    <ds:schemaRef ds:uri="http://schemas.microsoft.com/office/infopath/2007/PartnerControls"/>
    <ds:schemaRef ds:uri="c9a2659a-14e4-4d4b-8493-8916af50de6d"/>
    <ds:schemaRef ds:uri="e729a1ec-a59f-401c-85f7-1e16ba04e6cb"/>
  </ds:schemaRefs>
</ds:datastoreItem>
</file>

<file path=customXml/itemProps4.xml><?xml version="1.0" encoding="utf-8"?>
<ds:datastoreItem xmlns:ds="http://schemas.openxmlformats.org/officeDocument/2006/customXml" ds:itemID="{1785A2EF-C3C6-4742-9A9E-E0A7144223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Patrick Badger Design</Company>
  <LinksUpToDate>false</LinksUpToDate>
  <CharactersWithSpaces>17735</CharactersWithSpaces>
  <SharedDoc>false</SharedDoc>
  <HLinks>
    <vt:vector size="6" baseType="variant">
      <vt:variant>
        <vt:i4>4980798</vt:i4>
      </vt:variant>
      <vt:variant>
        <vt:i4>0</vt:i4>
      </vt:variant>
      <vt:variant>
        <vt:i4>0</vt:i4>
      </vt:variant>
      <vt:variant>
        <vt:i4>5</vt:i4>
      </vt:variant>
      <vt:variant>
        <vt:lpwstr>mailto:adrienne@tascoss.org.au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Tait</dc:creator>
  <cp:keywords/>
  <dc:description/>
  <cp:lastModifiedBy>Meg Tait</cp:lastModifiedBy>
  <cp:revision>3</cp:revision>
  <dcterms:created xsi:type="dcterms:W3CDTF">2024-04-02T05:55:00Z</dcterms:created>
  <dcterms:modified xsi:type="dcterms:W3CDTF">2024-04-02T05:56:00Z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0x01010095182365AAFBAC48BB82C5E0D04A25AF</vt:lpwstr>
  </property>
  <property fmtid="{D5CDD505-2E9C-101B-9397-08002B2CF9AE}" pid="3" name="_dlc_DocIdItemGuid">
    <vt:lpwstr>08c74af5-4276-4b7e-9111-a7d00eccaabd</vt:lpwstr>
  </property>
  <property fmtid="{D5CDD505-2E9C-101B-9397-08002B2CF9AE}" pid="4" name="MediaServiceImageTags">
    <vt:lpwstr/>
  </property>
</Properties>
</file>